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3B" w:rsidRPr="008F486E" w:rsidRDefault="00847F3B" w:rsidP="008F486E">
      <w:pPr>
        <w:spacing w:line="360" w:lineRule="auto"/>
        <w:rPr>
          <w:rFonts w:ascii="Arial" w:hAnsi="Arial" w:cs="Arial"/>
          <w:sz w:val="24"/>
          <w:szCs w:val="24"/>
        </w:rPr>
      </w:pPr>
    </w:p>
    <w:p w:rsidR="00BF6DD9" w:rsidRPr="008F486E" w:rsidRDefault="00C21927" w:rsidP="008F486E">
      <w:pPr>
        <w:spacing w:line="360" w:lineRule="auto"/>
        <w:ind w:left="708"/>
        <w:jc w:val="right"/>
        <w:rPr>
          <w:rFonts w:ascii="Arial" w:hAnsi="Arial" w:cs="Arial"/>
          <w:b/>
          <w:sz w:val="24"/>
          <w:szCs w:val="24"/>
        </w:rPr>
      </w:pPr>
      <w:r w:rsidRPr="008F486E">
        <w:rPr>
          <w:rFonts w:ascii="Arial" w:hAnsi="Arial" w:cs="Arial"/>
          <w:b/>
          <w:sz w:val="24"/>
          <w:szCs w:val="24"/>
        </w:rPr>
        <w:t xml:space="preserve">LA </w:t>
      </w:r>
      <w:r w:rsidR="00C11EBB" w:rsidRPr="008F486E">
        <w:rPr>
          <w:rFonts w:ascii="Arial" w:hAnsi="Arial" w:cs="Arial"/>
          <w:b/>
          <w:sz w:val="24"/>
          <w:szCs w:val="24"/>
        </w:rPr>
        <w:t xml:space="preserve">TECNOLOGÍA ESPACIAL COMO FACTOR CLAVE </w:t>
      </w:r>
      <w:r w:rsidR="001B1832" w:rsidRPr="008F486E">
        <w:rPr>
          <w:rFonts w:ascii="Arial" w:hAnsi="Arial" w:cs="Arial"/>
          <w:b/>
          <w:sz w:val="24"/>
          <w:szCs w:val="24"/>
        </w:rPr>
        <w:t xml:space="preserve">DE LA </w:t>
      </w:r>
      <w:r w:rsidR="00C11EBB" w:rsidRPr="008F486E">
        <w:rPr>
          <w:rFonts w:ascii="Arial" w:hAnsi="Arial" w:cs="Arial"/>
          <w:b/>
          <w:sz w:val="24"/>
          <w:szCs w:val="24"/>
        </w:rPr>
        <w:t>GLOBALIZACI</w:t>
      </w:r>
      <w:r w:rsidR="00EE4AB5" w:rsidRPr="008F486E">
        <w:rPr>
          <w:rFonts w:ascii="Arial" w:hAnsi="Arial" w:cs="Arial"/>
          <w:b/>
          <w:sz w:val="24"/>
          <w:szCs w:val="24"/>
        </w:rPr>
        <w:t>ÓN: LA REGULACIÓN</w:t>
      </w:r>
      <w:r w:rsidR="00D06807" w:rsidRPr="008F486E">
        <w:rPr>
          <w:rFonts w:ascii="Arial" w:hAnsi="Arial" w:cs="Arial"/>
          <w:b/>
          <w:sz w:val="24"/>
          <w:szCs w:val="24"/>
        </w:rPr>
        <w:t xml:space="preserve"> JURÍDICA</w:t>
      </w:r>
      <w:r w:rsidR="00EE4AB5" w:rsidRPr="008F486E">
        <w:rPr>
          <w:rFonts w:ascii="Arial" w:hAnsi="Arial" w:cs="Arial"/>
          <w:b/>
          <w:sz w:val="24"/>
          <w:szCs w:val="24"/>
        </w:rPr>
        <w:t xml:space="preserve"> DE</w:t>
      </w:r>
      <w:r w:rsidR="00C11EBB" w:rsidRPr="008F486E">
        <w:rPr>
          <w:rFonts w:ascii="Arial" w:hAnsi="Arial" w:cs="Arial"/>
          <w:b/>
          <w:sz w:val="24"/>
          <w:szCs w:val="24"/>
        </w:rPr>
        <w:t xml:space="preserve"> LAS ACTIVIDADES ESPACIALES.</w:t>
      </w:r>
    </w:p>
    <w:p w:rsidR="000931FB" w:rsidRPr="008F486E" w:rsidRDefault="001B1832" w:rsidP="008F486E">
      <w:pPr>
        <w:spacing w:line="360" w:lineRule="auto"/>
        <w:ind w:left="708" w:firstLine="708"/>
        <w:jc w:val="right"/>
        <w:rPr>
          <w:rFonts w:ascii="Arial" w:hAnsi="Arial" w:cs="Arial"/>
          <w:i/>
          <w:sz w:val="24"/>
          <w:szCs w:val="24"/>
          <w:lang w:val="en-US"/>
        </w:rPr>
      </w:pPr>
      <w:r w:rsidRPr="008F486E">
        <w:rPr>
          <w:rFonts w:ascii="Arial" w:hAnsi="Arial" w:cs="Arial"/>
          <w:i/>
          <w:sz w:val="24"/>
          <w:szCs w:val="24"/>
          <w:lang w:val="en-US"/>
        </w:rPr>
        <w:t xml:space="preserve">(SPACE TECHNOLOGY AS A KEY FACTOR IN GLOBALIZATION: </w:t>
      </w:r>
      <w:r w:rsidR="00D06807" w:rsidRPr="008F486E">
        <w:rPr>
          <w:rFonts w:ascii="Arial" w:hAnsi="Arial" w:cs="Arial"/>
          <w:i/>
          <w:sz w:val="24"/>
          <w:szCs w:val="24"/>
          <w:lang w:val="en-US"/>
        </w:rPr>
        <w:t xml:space="preserve">THE </w:t>
      </w:r>
      <w:r w:rsidRPr="008F486E">
        <w:rPr>
          <w:rFonts w:ascii="Arial" w:hAnsi="Arial" w:cs="Arial"/>
          <w:i/>
          <w:sz w:val="24"/>
          <w:szCs w:val="24"/>
          <w:lang w:val="en-US"/>
        </w:rPr>
        <w:t>SPACE ACTIVITIES</w:t>
      </w:r>
      <w:r w:rsidR="00D06807" w:rsidRPr="008F486E">
        <w:rPr>
          <w:rFonts w:ascii="Arial" w:hAnsi="Arial" w:cs="Arial"/>
          <w:i/>
          <w:sz w:val="24"/>
          <w:szCs w:val="24"/>
          <w:lang w:val="en-US"/>
        </w:rPr>
        <w:t xml:space="preserve"> LEGAL</w:t>
      </w:r>
      <w:r w:rsidR="00EE4AB5" w:rsidRPr="008F486E">
        <w:rPr>
          <w:rFonts w:ascii="Arial" w:hAnsi="Arial" w:cs="Arial"/>
          <w:i/>
          <w:sz w:val="24"/>
          <w:szCs w:val="24"/>
          <w:lang w:val="en-US"/>
        </w:rPr>
        <w:t xml:space="preserve"> REGULATION</w:t>
      </w:r>
      <w:r w:rsidRPr="008F486E">
        <w:rPr>
          <w:rFonts w:ascii="Arial" w:hAnsi="Arial" w:cs="Arial"/>
          <w:i/>
          <w:sz w:val="24"/>
          <w:szCs w:val="24"/>
          <w:lang w:val="en-US"/>
        </w:rPr>
        <w:t>)</w:t>
      </w:r>
    </w:p>
    <w:p w:rsidR="00C92A61" w:rsidRPr="008F486E" w:rsidRDefault="00C92A61" w:rsidP="008F486E">
      <w:pPr>
        <w:spacing w:line="360" w:lineRule="auto"/>
        <w:jc w:val="right"/>
        <w:rPr>
          <w:rFonts w:ascii="Arial" w:hAnsi="Arial" w:cs="Arial"/>
          <w:b/>
          <w:sz w:val="24"/>
          <w:szCs w:val="24"/>
        </w:rPr>
      </w:pPr>
      <w:r w:rsidRPr="008F486E">
        <w:rPr>
          <w:rFonts w:ascii="Arial" w:hAnsi="Arial" w:cs="Arial"/>
          <w:b/>
          <w:sz w:val="24"/>
          <w:szCs w:val="24"/>
        </w:rPr>
        <w:t>Artículo publicado por la Editorial Jurídica SEPIN el 5 de marzo de 2019.</w:t>
      </w:r>
    </w:p>
    <w:p w:rsidR="00AD0F70" w:rsidRPr="008F486E" w:rsidRDefault="00AD0F70" w:rsidP="008F486E">
      <w:pPr>
        <w:spacing w:line="360" w:lineRule="auto"/>
        <w:ind w:left="708" w:firstLine="708"/>
        <w:jc w:val="right"/>
        <w:rPr>
          <w:rFonts w:ascii="Arial" w:hAnsi="Arial" w:cs="Arial"/>
          <w:b/>
          <w:sz w:val="24"/>
          <w:szCs w:val="24"/>
        </w:rPr>
      </w:pPr>
    </w:p>
    <w:p w:rsidR="00AD0F70" w:rsidRPr="008F486E" w:rsidRDefault="00387CCF" w:rsidP="008F486E">
      <w:pPr>
        <w:spacing w:line="360" w:lineRule="auto"/>
        <w:ind w:left="708" w:firstLine="708"/>
        <w:jc w:val="right"/>
        <w:rPr>
          <w:rFonts w:ascii="Arial" w:hAnsi="Arial" w:cs="Arial"/>
          <w:b/>
          <w:sz w:val="24"/>
          <w:szCs w:val="24"/>
        </w:rPr>
      </w:pPr>
      <w:r w:rsidRPr="008F486E">
        <w:rPr>
          <w:rFonts w:ascii="Arial" w:hAnsi="Arial" w:cs="Arial"/>
          <w:b/>
          <w:sz w:val="24"/>
          <w:szCs w:val="24"/>
        </w:rPr>
        <w:t xml:space="preserve">Dra. </w:t>
      </w:r>
      <w:r w:rsidR="00AD0F70" w:rsidRPr="008F486E">
        <w:rPr>
          <w:rFonts w:ascii="Arial" w:hAnsi="Arial" w:cs="Arial"/>
          <w:b/>
          <w:sz w:val="24"/>
          <w:szCs w:val="24"/>
        </w:rPr>
        <w:t xml:space="preserve">Elisa González Ferreiro </w:t>
      </w:r>
    </w:p>
    <w:p w:rsidR="000931FB" w:rsidRPr="008F486E" w:rsidRDefault="00AD0F70" w:rsidP="008F486E">
      <w:pPr>
        <w:spacing w:line="360" w:lineRule="auto"/>
        <w:ind w:left="708" w:firstLine="708"/>
        <w:jc w:val="right"/>
        <w:rPr>
          <w:rFonts w:ascii="Arial" w:hAnsi="Arial" w:cs="Arial"/>
          <w:i/>
          <w:sz w:val="24"/>
          <w:szCs w:val="24"/>
        </w:rPr>
      </w:pPr>
      <w:r w:rsidRPr="008F486E">
        <w:rPr>
          <w:rFonts w:ascii="Arial" w:hAnsi="Arial" w:cs="Arial"/>
          <w:i/>
          <w:sz w:val="24"/>
          <w:szCs w:val="24"/>
        </w:rPr>
        <w:t>Presidenta Asociación Española</w:t>
      </w:r>
      <w:r w:rsidR="00AA7187" w:rsidRPr="008F486E">
        <w:rPr>
          <w:rFonts w:ascii="Arial" w:hAnsi="Arial" w:cs="Arial"/>
          <w:i/>
          <w:sz w:val="24"/>
          <w:szCs w:val="24"/>
        </w:rPr>
        <w:t xml:space="preserve"> Derecho Aeronáutico y Espacial (AEDAE)</w:t>
      </w:r>
    </w:p>
    <w:p w:rsidR="00A46D26" w:rsidRPr="008F486E" w:rsidRDefault="00A46D26" w:rsidP="008F486E">
      <w:pPr>
        <w:spacing w:line="360" w:lineRule="auto"/>
        <w:jc w:val="right"/>
        <w:rPr>
          <w:rFonts w:ascii="Arial" w:hAnsi="Arial" w:cs="Arial"/>
          <w:b/>
          <w:sz w:val="24"/>
          <w:szCs w:val="24"/>
        </w:rPr>
      </w:pPr>
    </w:p>
    <w:p w:rsidR="00AD0F70" w:rsidRPr="008F486E" w:rsidRDefault="00AD0F70" w:rsidP="008F486E">
      <w:pPr>
        <w:spacing w:line="360" w:lineRule="auto"/>
        <w:jc w:val="both"/>
        <w:rPr>
          <w:rFonts w:ascii="Arial" w:hAnsi="Arial" w:cs="Arial"/>
          <w:b/>
          <w:sz w:val="24"/>
          <w:szCs w:val="24"/>
        </w:rPr>
      </w:pPr>
    </w:p>
    <w:p w:rsidR="000931FB" w:rsidRPr="008F486E" w:rsidRDefault="000931FB" w:rsidP="008F486E">
      <w:pPr>
        <w:spacing w:line="360" w:lineRule="auto"/>
        <w:jc w:val="both"/>
        <w:rPr>
          <w:rFonts w:ascii="Arial" w:hAnsi="Arial" w:cs="Arial"/>
          <w:sz w:val="24"/>
          <w:szCs w:val="24"/>
        </w:rPr>
      </w:pPr>
      <w:r w:rsidRPr="008F486E">
        <w:rPr>
          <w:rFonts w:ascii="Arial" w:hAnsi="Arial" w:cs="Arial"/>
          <w:b/>
          <w:sz w:val="24"/>
          <w:szCs w:val="24"/>
        </w:rPr>
        <w:t>Sumario:</w:t>
      </w:r>
      <w:r w:rsidR="00DC457E" w:rsidRPr="008F486E">
        <w:rPr>
          <w:rFonts w:ascii="Arial" w:hAnsi="Arial" w:cs="Arial"/>
          <w:b/>
          <w:sz w:val="24"/>
          <w:szCs w:val="24"/>
        </w:rPr>
        <w:t xml:space="preserve"> </w:t>
      </w:r>
      <w:r w:rsidRPr="008F486E">
        <w:rPr>
          <w:rFonts w:ascii="Arial" w:hAnsi="Arial" w:cs="Arial"/>
          <w:sz w:val="24"/>
          <w:szCs w:val="24"/>
        </w:rPr>
        <w:t xml:space="preserve">I. INTRODUCCIÓN A LA GLOBALIZACIÓN. II. ASPECTOS JURÍDICOS DE LA GLOBALIZACIÓN. A. Ámbito de las Naciones Unidas. 1. UNESCO. </w:t>
      </w:r>
      <w:r w:rsidR="00F95D29" w:rsidRPr="008F486E">
        <w:rPr>
          <w:rFonts w:ascii="Arial" w:hAnsi="Arial" w:cs="Arial"/>
          <w:sz w:val="24"/>
          <w:szCs w:val="24"/>
        </w:rPr>
        <w:t xml:space="preserve">                     </w:t>
      </w:r>
      <w:r w:rsidRPr="008F486E">
        <w:rPr>
          <w:rFonts w:ascii="Arial" w:hAnsi="Arial" w:cs="Arial"/>
          <w:sz w:val="24"/>
          <w:szCs w:val="24"/>
        </w:rPr>
        <w:t xml:space="preserve">2. ECOSOC. 3. UNGIWG. 4. COPUOS. </w:t>
      </w:r>
      <w:r w:rsidR="00DC457E" w:rsidRPr="008F486E">
        <w:rPr>
          <w:rFonts w:ascii="Arial" w:hAnsi="Arial" w:cs="Arial"/>
          <w:sz w:val="24"/>
          <w:szCs w:val="24"/>
        </w:rPr>
        <w:t>B. Ámbito Internacional. 1. Acuerdos multilaterales. 2. Acuerdos bilaterales. 3. Códigos de Conducta. 4. Directrices. C. Ámbito de la Unión Europea. 1. Cooperación Internacional. 2. Beneficios para la sociedad y la economía de la Unión. 3. Competitividad. 4. Seguridad y Defensa. D. Ámbitos Nacionales. III. CONCLUSIONES. IV. BIBLIOGRAFÍA.</w:t>
      </w:r>
    </w:p>
    <w:p w:rsidR="00DC457E" w:rsidRPr="008F486E" w:rsidRDefault="00DC457E" w:rsidP="008F486E">
      <w:pPr>
        <w:spacing w:line="360" w:lineRule="auto"/>
        <w:jc w:val="both"/>
        <w:rPr>
          <w:rFonts w:ascii="Arial" w:hAnsi="Arial" w:cs="Arial"/>
          <w:sz w:val="24"/>
          <w:szCs w:val="24"/>
        </w:rPr>
      </w:pPr>
    </w:p>
    <w:p w:rsidR="00DC457E" w:rsidRPr="008F486E" w:rsidRDefault="00DC457E" w:rsidP="008F486E">
      <w:pPr>
        <w:spacing w:line="360" w:lineRule="auto"/>
        <w:jc w:val="both"/>
        <w:rPr>
          <w:rFonts w:ascii="Arial" w:hAnsi="Arial" w:cs="Arial"/>
          <w:sz w:val="24"/>
          <w:szCs w:val="24"/>
        </w:rPr>
      </w:pPr>
      <w:r w:rsidRPr="008F486E">
        <w:rPr>
          <w:rFonts w:ascii="Arial" w:hAnsi="Arial" w:cs="Arial"/>
          <w:b/>
          <w:sz w:val="24"/>
          <w:szCs w:val="24"/>
        </w:rPr>
        <w:t>Resumen</w:t>
      </w:r>
      <w:r w:rsidRPr="008F486E">
        <w:rPr>
          <w:rFonts w:ascii="Arial" w:hAnsi="Arial" w:cs="Arial"/>
          <w:sz w:val="24"/>
          <w:szCs w:val="24"/>
        </w:rPr>
        <w:t xml:space="preserve">: </w:t>
      </w:r>
      <w:r w:rsidR="00BF6DD9" w:rsidRPr="008F486E">
        <w:rPr>
          <w:rFonts w:ascii="Arial" w:hAnsi="Arial" w:cs="Arial"/>
          <w:sz w:val="24"/>
          <w:szCs w:val="24"/>
        </w:rPr>
        <w:t>El presente trabajo tiene como finalidad abordar el proceso de globalización desde una perspectiva positiva, donde las actividades espaciales, y su regulación</w:t>
      </w:r>
      <w:r w:rsidR="00FA45C7" w:rsidRPr="008F486E">
        <w:rPr>
          <w:rFonts w:ascii="Arial" w:hAnsi="Arial" w:cs="Arial"/>
          <w:sz w:val="24"/>
          <w:szCs w:val="24"/>
        </w:rPr>
        <w:t xml:space="preserve"> jurídica</w:t>
      </w:r>
      <w:r w:rsidR="00BF6DD9" w:rsidRPr="008F486E">
        <w:rPr>
          <w:rFonts w:ascii="Arial" w:hAnsi="Arial" w:cs="Arial"/>
          <w:sz w:val="24"/>
          <w:szCs w:val="24"/>
        </w:rPr>
        <w:t>, sirven de herramienta para construir una sociedad internacional justa, sostenible, segura y pacífica.</w:t>
      </w:r>
    </w:p>
    <w:p w:rsidR="00DC457E" w:rsidRPr="008F486E" w:rsidRDefault="00DC457E" w:rsidP="008F486E">
      <w:pPr>
        <w:spacing w:line="360" w:lineRule="auto"/>
        <w:ind w:left="708"/>
        <w:jc w:val="both"/>
        <w:rPr>
          <w:rFonts w:ascii="Arial" w:hAnsi="Arial" w:cs="Arial"/>
          <w:i/>
          <w:sz w:val="24"/>
          <w:szCs w:val="24"/>
          <w:lang w:val="en-US"/>
        </w:rPr>
      </w:pPr>
      <w:r w:rsidRPr="008F486E">
        <w:rPr>
          <w:rFonts w:ascii="Arial" w:hAnsi="Arial" w:cs="Arial"/>
          <w:b/>
          <w:i/>
          <w:sz w:val="24"/>
          <w:szCs w:val="24"/>
          <w:lang w:val="en-US"/>
        </w:rPr>
        <w:t>Abstract</w:t>
      </w:r>
      <w:r w:rsidRPr="008F486E">
        <w:rPr>
          <w:rFonts w:ascii="Arial" w:hAnsi="Arial" w:cs="Arial"/>
          <w:sz w:val="24"/>
          <w:szCs w:val="24"/>
          <w:lang w:val="en-US"/>
        </w:rPr>
        <w:t xml:space="preserve">: </w:t>
      </w:r>
      <w:r w:rsidR="00A46D26" w:rsidRPr="008F486E">
        <w:rPr>
          <w:rFonts w:ascii="Arial" w:hAnsi="Arial" w:cs="Arial"/>
          <w:i/>
          <w:sz w:val="24"/>
          <w:szCs w:val="24"/>
          <w:lang w:val="en-US"/>
        </w:rPr>
        <w:t xml:space="preserve">The purpose of this paper is to address the globalization process from a positive perspective, </w:t>
      </w:r>
      <w:r w:rsidR="00BF6DD9" w:rsidRPr="008F486E">
        <w:rPr>
          <w:rFonts w:ascii="Arial" w:hAnsi="Arial" w:cs="Arial"/>
          <w:i/>
          <w:sz w:val="24"/>
          <w:szCs w:val="24"/>
          <w:lang w:val="en-US"/>
        </w:rPr>
        <w:t>where space activities, and their</w:t>
      </w:r>
      <w:r w:rsidR="00FA45C7" w:rsidRPr="008F486E">
        <w:rPr>
          <w:rFonts w:ascii="Arial" w:hAnsi="Arial" w:cs="Arial"/>
          <w:i/>
          <w:sz w:val="24"/>
          <w:szCs w:val="24"/>
          <w:lang w:val="en-US"/>
        </w:rPr>
        <w:t xml:space="preserve"> </w:t>
      </w:r>
      <w:r w:rsidR="00FA45C7" w:rsidRPr="008F486E">
        <w:rPr>
          <w:rFonts w:ascii="Arial" w:hAnsi="Arial" w:cs="Arial"/>
          <w:i/>
          <w:sz w:val="24"/>
          <w:szCs w:val="24"/>
          <w:lang w:val="en-US"/>
        </w:rPr>
        <w:lastRenderedPageBreak/>
        <w:t>legal</w:t>
      </w:r>
      <w:r w:rsidR="00BF6DD9" w:rsidRPr="008F486E">
        <w:rPr>
          <w:rFonts w:ascii="Arial" w:hAnsi="Arial" w:cs="Arial"/>
          <w:i/>
          <w:sz w:val="24"/>
          <w:szCs w:val="24"/>
          <w:lang w:val="en-US"/>
        </w:rPr>
        <w:t xml:space="preserve"> regulation, serve as a tool to build a fair, sustainable, safe and peaceful international society.</w:t>
      </w:r>
    </w:p>
    <w:p w:rsidR="00BF6DD9" w:rsidRPr="008F486E" w:rsidRDefault="00BF6DD9" w:rsidP="008F486E">
      <w:pPr>
        <w:spacing w:line="360" w:lineRule="auto"/>
        <w:jc w:val="both"/>
        <w:rPr>
          <w:rFonts w:ascii="Arial" w:hAnsi="Arial" w:cs="Arial"/>
          <w:b/>
          <w:sz w:val="24"/>
          <w:szCs w:val="24"/>
          <w:lang w:val="en-US"/>
        </w:rPr>
      </w:pPr>
    </w:p>
    <w:p w:rsidR="00DC457E" w:rsidRPr="008F486E" w:rsidRDefault="00DC457E" w:rsidP="008F486E">
      <w:pPr>
        <w:spacing w:line="360" w:lineRule="auto"/>
        <w:jc w:val="both"/>
        <w:rPr>
          <w:rFonts w:ascii="Arial" w:hAnsi="Arial" w:cs="Arial"/>
          <w:sz w:val="24"/>
          <w:szCs w:val="24"/>
        </w:rPr>
      </w:pPr>
      <w:r w:rsidRPr="008F486E">
        <w:rPr>
          <w:rFonts w:ascii="Arial" w:hAnsi="Arial" w:cs="Arial"/>
          <w:b/>
          <w:sz w:val="24"/>
          <w:szCs w:val="24"/>
        </w:rPr>
        <w:t>Palabras Clave</w:t>
      </w:r>
      <w:r w:rsidRPr="008F486E">
        <w:rPr>
          <w:rFonts w:ascii="Arial" w:hAnsi="Arial" w:cs="Arial"/>
          <w:sz w:val="24"/>
          <w:szCs w:val="24"/>
        </w:rPr>
        <w:t xml:space="preserve">: </w:t>
      </w:r>
      <w:r w:rsidR="004576CF" w:rsidRPr="008F486E">
        <w:rPr>
          <w:rFonts w:ascii="Arial" w:hAnsi="Arial" w:cs="Arial"/>
          <w:sz w:val="24"/>
          <w:szCs w:val="24"/>
        </w:rPr>
        <w:t>G</w:t>
      </w:r>
      <w:r w:rsidR="000C5B96" w:rsidRPr="008F486E">
        <w:rPr>
          <w:rFonts w:ascii="Arial" w:hAnsi="Arial" w:cs="Arial"/>
          <w:sz w:val="24"/>
          <w:szCs w:val="24"/>
        </w:rPr>
        <w:t>loba</w:t>
      </w:r>
      <w:r w:rsidR="004576CF" w:rsidRPr="008F486E">
        <w:rPr>
          <w:rFonts w:ascii="Arial" w:hAnsi="Arial" w:cs="Arial"/>
          <w:sz w:val="24"/>
          <w:szCs w:val="24"/>
        </w:rPr>
        <w:t>lización, Desarrollo S</w:t>
      </w:r>
      <w:r w:rsidR="000C5B96" w:rsidRPr="008F486E">
        <w:rPr>
          <w:rFonts w:ascii="Arial" w:hAnsi="Arial" w:cs="Arial"/>
          <w:sz w:val="24"/>
          <w:szCs w:val="24"/>
        </w:rPr>
        <w:t>ostenible</w:t>
      </w:r>
      <w:r w:rsidR="004576CF" w:rsidRPr="008F486E">
        <w:rPr>
          <w:rFonts w:ascii="Arial" w:hAnsi="Arial" w:cs="Arial"/>
          <w:sz w:val="24"/>
          <w:szCs w:val="24"/>
        </w:rPr>
        <w:t>, Tecnología</w:t>
      </w:r>
      <w:r w:rsidR="0052337C" w:rsidRPr="008F486E">
        <w:rPr>
          <w:rFonts w:ascii="Arial" w:hAnsi="Arial" w:cs="Arial"/>
          <w:sz w:val="24"/>
          <w:szCs w:val="24"/>
        </w:rPr>
        <w:t xml:space="preserve"> Espacial</w:t>
      </w:r>
      <w:r w:rsidR="004576CF" w:rsidRPr="008F486E">
        <w:rPr>
          <w:rFonts w:ascii="Arial" w:hAnsi="Arial" w:cs="Arial"/>
          <w:sz w:val="24"/>
          <w:szCs w:val="24"/>
        </w:rPr>
        <w:t>, Regulación de las Actividades E</w:t>
      </w:r>
      <w:r w:rsidR="000C5B96" w:rsidRPr="008F486E">
        <w:rPr>
          <w:rFonts w:ascii="Arial" w:hAnsi="Arial" w:cs="Arial"/>
          <w:sz w:val="24"/>
          <w:szCs w:val="24"/>
        </w:rPr>
        <w:t>spaciales</w:t>
      </w:r>
      <w:r w:rsidR="004576CF" w:rsidRPr="008F486E">
        <w:rPr>
          <w:rFonts w:ascii="Arial" w:hAnsi="Arial" w:cs="Arial"/>
          <w:sz w:val="24"/>
          <w:szCs w:val="24"/>
        </w:rPr>
        <w:t>, Beneficio de la Humanidad.</w:t>
      </w:r>
      <w:r w:rsidR="000C5B96" w:rsidRPr="008F486E">
        <w:rPr>
          <w:rFonts w:ascii="Arial" w:hAnsi="Arial" w:cs="Arial"/>
          <w:sz w:val="24"/>
          <w:szCs w:val="24"/>
        </w:rPr>
        <w:t xml:space="preserve"> </w:t>
      </w:r>
    </w:p>
    <w:p w:rsidR="00DC457E" w:rsidRPr="008F486E" w:rsidRDefault="004576CF" w:rsidP="008F486E">
      <w:pPr>
        <w:spacing w:line="360" w:lineRule="auto"/>
        <w:ind w:left="708"/>
        <w:jc w:val="both"/>
        <w:rPr>
          <w:rFonts w:ascii="Arial" w:hAnsi="Arial" w:cs="Arial"/>
          <w:i/>
          <w:sz w:val="24"/>
          <w:szCs w:val="24"/>
          <w:lang w:val="en-US"/>
        </w:rPr>
      </w:pPr>
      <w:r w:rsidRPr="008F486E">
        <w:rPr>
          <w:rFonts w:ascii="Arial" w:hAnsi="Arial" w:cs="Arial"/>
          <w:b/>
          <w:i/>
          <w:sz w:val="24"/>
          <w:szCs w:val="24"/>
          <w:lang w:val="en-US"/>
        </w:rPr>
        <w:t>Keywords</w:t>
      </w:r>
      <w:r w:rsidR="00DC457E" w:rsidRPr="008F486E">
        <w:rPr>
          <w:rFonts w:ascii="Arial" w:hAnsi="Arial" w:cs="Arial"/>
          <w:i/>
          <w:sz w:val="24"/>
          <w:szCs w:val="24"/>
          <w:lang w:val="en-US"/>
        </w:rPr>
        <w:t xml:space="preserve">: </w:t>
      </w:r>
      <w:r w:rsidRPr="008F486E">
        <w:rPr>
          <w:rFonts w:ascii="Arial" w:hAnsi="Arial" w:cs="Arial"/>
          <w:i/>
          <w:sz w:val="24"/>
          <w:szCs w:val="24"/>
          <w:lang w:val="en-US"/>
        </w:rPr>
        <w:t xml:space="preserve">Globalization, Sustainable Development, </w:t>
      </w:r>
      <w:r w:rsidR="0052337C" w:rsidRPr="008F486E">
        <w:rPr>
          <w:rFonts w:ascii="Arial" w:hAnsi="Arial" w:cs="Arial"/>
          <w:i/>
          <w:sz w:val="24"/>
          <w:szCs w:val="24"/>
          <w:lang w:val="en-US"/>
        </w:rPr>
        <w:t xml:space="preserve">Space </w:t>
      </w:r>
      <w:r w:rsidRPr="008F486E">
        <w:rPr>
          <w:rFonts w:ascii="Arial" w:hAnsi="Arial" w:cs="Arial"/>
          <w:i/>
          <w:sz w:val="24"/>
          <w:szCs w:val="24"/>
          <w:lang w:val="en-US"/>
        </w:rPr>
        <w:t>Technology, Space Activities Regulation, Benefit of Humankind.</w:t>
      </w:r>
    </w:p>
    <w:p w:rsidR="00FE4CCF" w:rsidRPr="008F486E" w:rsidRDefault="00FE4CCF" w:rsidP="008F486E">
      <w:pPr>
        <w:spacing w:line="360" w:lineRule="auto"/>
        <w:jc w:val="both"/>
        <w:rPr>
          <w:rFonts w:ascii="Arial" w:hAnsi="Arial" w:cs="Arial"/>
          <w:b/>
          <w:sz w:val="24"/>
          <w:szCs w:val="24"/>
          <w:lang w:val="en-US"/>
        </w:rPr>
      </w:pPr>
    </w:p>
    <w:p w:rsidR="00AD0F70" w:rsidRPr="008F486E" w:rsidRDefault="00AD0F70" w:rsidP="008F486E">
      <w:pPr>
        <w:spacing w:line="360" w:lineRule="auto"/>
        <w:jc w:val="both"/>
        <w:rPr>
          <w:rFonts w:ascii="Arial" w:hAnsi="Arial" w:cs="Arial"/>
          <w:b/>
          <w:sz w:val="24"/>
          <w:szCs w:val="24"/>
          <w:lang w:val="en-US"/>
        </w:rPr>
      </w:pPr>
    </w:p>
    <w:p w:rsidR="00805A95" w:rsidRPr="008F486E" w:rsidRDefault="008F10E1" w:rsidP="008F486E">
      <w:pPr>
        <w:pStyle w:val="Prrafodelista"/>
        <w:numPr>
          <w:ilvl w:val="0"/>
          <w:numId w:val="5"/>
        </w:numPr>
        <w:spacing w:line="360" w:lineRule="auto"/>
        <w:jc w:val="both"/>
        <w:rPr>
          <w:rFonts w:ascii="Arial" w:hAnsi="Arial" w:cs="Arial"/>
          <w:b/>
          <w:sz w:val="24"/>
          <w:szCs w:val="24"/>
        </w:rPr>
      </w:pPr>
      <w:r w:rsidRPr="008F486E">
        <w:rPr>
          <w:rFonts w:ascii="Arial" w:hAnsi="Arial" w:cs="Arial"/>
          <w:b/>
          <w:sz w:val="24"/>
          <w:szCs w:val="24"/>
        </w:rPr>
        <w:t>INTRODUCCIÓN A LA GLOBALIZACIÓN</w:t>
      </w:r>
    </w:p>
    <w:p w:rsidR="00391A7B" w:rsidRPr="008F486E" w:rsidRDefault="00E236F5" w:rsidP="008F486E">
      <w:pPr>
        <w:spacing w:line="360" w:lineRule="auto"/>
        <w:ind w:firstLine="360"/>
        <w:jc w:val="both"/>
        <w:rPr>
          <w:rFonts w:ascii="Arial" w:hAnsi="Arial" w:cs="Arial"/>
          <w:sz w:val="24"/>
          <w:szCs w:val="24"/>
        </w:rPr>
      </w:pPr>
      <w:r w:rsidRPr="008F486E">
        <w:rPr>
          <w:rFonts w:ascii="Arial" w:hAnsi="Arial" w:cs="Arial"/>
          <w:sz w:val="24"/>
          <w:szCs w:val="24"/>
        </w:rPr>
        <w:t>La globalización es un proceso histórico de múltiples facetas, políticas,</w:t>
      </w:r>
      <w:r w:rsidR="000C5B96" w:rsidRPr="008F486E">
        <w:rPr>
          <w:rFonts w:ascii="Arial" w:hAnsi="Arial" w:cs="Arial"/>
          <w:sz w:val="24"/>
          <w:szCs w:val="24"/>
        </w:rPr>
        <w:t xml:space="preserve"> </w:t>
      </w:r>
      <w:r w:rsidR="009B46B0" w:rsidRPr="008F486E">
        <w:rPr>
          <w:rFonts w:ascii="Arial" w:hAnsi="Arial" w:cs="Arial"/>
          <w:sz w:val="24"/>
          <w:szCs w:val="24"/>
        </w:rPr>
        <w:t xml:space="preserve">jurídicas, </w:t>
      </w:r>
      <w:r w:rsidR="000C5B96" w:rsidRPr="008F486E">
        <w:rPr>
          <w:rFonts w:ascii="Arial" w:hAnsi="Arial" w:cs="Arial"/>
          <w:sz w:val="24"/>
          <w:szCs w:val="24"/>
        </w:rPr>
        <w:t>sociales,</w:t>
      </w:r>
      <w:r w:rsidRPr="008F486E">
        <w:rPr>
          <w:rFonts w:ascii="Arial" w:hAnsi="Arial" w:cs="Arial"/>
          <w:sz w:val="24"/>
          <w:szCs w:val="24"/>
        </w:rPr>
        <w:t xml:space="preserve"> económicas, </w:t>
      </w:r>
      <w:r w:rsidR="000C5B96" w:rsidRPr="008F486E">
        <w:rPr>
          <w:rFonts w:ascii="Arial" w:hAnsi="Arial" w:cs="Arial"/>
          <w:sz w:val="24"/>
          <w:szCs w:val="24"/>
        </w:rPr>
        <w:t xml:space="preserve">tecnológicas, </w:t>
      </w:r>
      <w:r w:rsidRPr="008F486E">
        <w:rPr>
          <w:rFonts w:ascii="Arial" w:hAnsi="Arial" w:cs="Arial"/>
          <w:sz w:val="24"/>
          <w:szCs w:val="24"/>
        </w:rPr>
        <w:t>culturales y medioambientales que ofrece grandes oportunidades para el desarrollo mundial.</w:t>
      </w:r>
      <w:r w:rsidR="001835AF" w:rsidRPr="008F486E">
        <w:rPr>
          <w:rFonts w:ascii="Arial" w:hAnsi="Arial" w:cs="Arial"/>
          <w:sz w:val="24"/>
          <w:szCs w:val="24"/>
        </w:rPr>
        <w:t xml:space="preserve"> </w:t>
      </w:r>
      <w:r w:rsidR="00FE4CCF" w:rsidRPr="008F486E">
        <w:rPr>
          <w:rFonts w:ascii="Arial" w:hAnsi="Arial" w:cs="Arial"/>
          <w:sz w:val="24"/>
          <w:szCs w:val="24"/>
        </w:rPr>
        <w:t xml:space="preserve"> </w:t>
      </w:r>
      <w:r w:rsidR="00C71F2E" w:rsidRPr="008F486E">
        <w:rPr>
          <w:rFonts w:ascii="Arial" w:hAnsi="Arial" w:cs="Arial"/>
          <w:sz w:val="24"/>
          <w:szCs w:val="24"/>
        </w:rPr>
        <w:t>Cuando habla</w:t>
      </w:r>
      <w:r w:rsidR="00B2284A" w:rsidRPr="008F486E">
        <w:rPr>
          <w:rFonts w:ascii="Arial" w:hAnsi="Arial" w:cs="Arial"/>
          <w:sz w:val="24"/>
          <w:szCs w:val="24"/>
        </w:rPr>
        <w:t>mos de globalización, pensamos en</w:t>
      </w:r>
      <w:r w:rsidR="00C71F2E" w:rsidRPr="008F486E">
        <w:rPr>
          <w:rFonts w:ascii="Arial" w:hAnsi="Arial" w:cs="Arial"/>
          <w:sz w:val="24"/>
          <w:szCs w:val="24"/>
        </w:rPr>
        <w:t xml:space="preserve"> la globalización de los mercados como un proceso en el que el sistema capitalista se expande a nivel mundial, trayendo consigo potenciales beneficios para unos y desven</w:t>
      </w:r>
      <w:r w:rsidR="00EE4AB5" w:rsidRPr="008F486E">
        <w:rPr>
          <w:rFonts w:ascii="Arial" w:hAnsi="Arial" w:cs="Arial"/>
          <w:sz w:val="24"/>
          <w:szCs w:val="24"/>
        </w:rPr>
        <w:t>tajas para otros con posibles</w:t>
      </w:r>
      <w:r w:rsidR="009B46B0" w:rsidRPr="008F486E">
        <w:rPr>
          <w:rFonts w:ascii="Arial" w:hAnsi="Arial" w:cs="Arial"/>
          <w:sz w:val="24"/>
          <w:szCs w:val="24"/>
        </w:rPr>
        <w:t xml:space="preserve"> riesgos para el medio ambiente pues l</w:t>
      </w:r>
      <w:r w:rsidR="00AE7DE8" w:rsidRPr="008F486E">
        <w:rPr>
          <w:rFonts w:ascii="Arial" w:hAnsi="Arial" w:cs="Arial"/>
          <w:sz w:val="24"/>
          <w:szCs w:val="24"/>
        </w:rPr>
        <w:t>os países en vías de desarrollo han intercambiado cada vez más unidades de materia prima por cada unidad de bienes industriales, lo que ha llevado a una degradación medioambiental</w:t>
      </w:r>
      <w:r w:rsidR="00CF170F" w:rsidRPr="008F486E">
        <w:rPr>
          <w:rStyle w:val="Refdenotaalpie"/>
          <w:rFonts w:ascii="Arial" w:hAnsi="Arial" w:cs="Arial"/>
          <w:sz w:val="24"/>
          <w:szCs w:val="24"/>
        </w:rPr>
        <w:footnoteReference w:id="1"/>
      </w:r>
      <w:r w:rsidR="00AE7DE8" w:rsidRPr="008F486E">
        <w:rPr>
          <w:rFonts w:ascii="Arial" w:hAnsi="Arial" w:cs="Arial"/>
          <w:sz w:val="24"/>
          <w:szCs w:val="24"/>
        </w:rPr>
        <w:t>.</w:t>
      </w:r>
    </w:p>
    <w:p w:rsidR="00A12D84" w:rsidRPr="008F486E" w:rsidRDefault="00AE7DE8" w:rsidP="008F486E">
      <w:pPr>
        <w:spacing w:line="360" w:lineRule="auto"/>
        <w:ind w:firstLine="360"/>
        <w:jc w:val="both"/>
        <w:rPr>
          <w:rFonts w:ascii="Arial" w:hAnsi="Arial" w:cs="Arial"/>
          <w:sz w:val="24"/>
          <w:szCs w:val="24"/>
        </w:rPr>
      </w:pPr>
      <w:r w:rsidRPr="008F486E">
        <w:rPr>
          <w:rFonts w:ascii="Arial" w:hAnsi="Arial" w:cs="Arial"/>
          <w:sz w:val="24"/>
          <w:szCs w:val="24"/>
        </w:rPr>
        <w:t>El 1987</w:t>
      </w:r>
      <w:r w:rsidR="002E34BE" w:rsidRPr="008F486E">
        <w:rPr>
          <w:rFonts w:ascii="Arial" w:hAnsi="Arial" w:cs="Arial"/>
          <w:sz w:val="24"/>
          <w:szCs w:val="24"/>
        </w:rPr>
        <w:t xml:space="preserve"> el informe </w:t>
      </w:r>
      <w:proofErr w:type="spellStart"/>
      <w:r w:rsidR="002E34BE" w:rsidRPr="008F486E">
        <w:rPr>
          <w:rFonts w:ascii="Arial" w:hAnsi="Arial" w:cs="Arial"/>
          <w:sz w:val="24"/>
          <w:szCs w:val="24"/>
        </w:rPr>
        <w:t>Brundtland</w:t>
      </w:r>
      <w:proofErr w:type="spellEnd"/>
      <w:r w:rsidR="002E34BE" w:rsidRPr="008F486E">
        <w:rPr>
          <w:rFonts w:ascii="Arial" w:hAnsi="Arial" w:cs="Arial"/>
          <w:sz w:val="24"/>
          <w:szCs w:val="24"/>
        </w:rPr>
        <w:t xml:space="preserve"> definió e</w:t>
      </w:r>
      <w:r w:rsidRPr="008F486E">
        <w:rPr>
          <w:rFonts w:ascii="Arial" w:hAnsi="Arial" w:cs="Arial"/>
          <w:sz w:val="24"/>
          <w:szCs w:val="24"/>
        </w:rPr>
        <w:t>l desarrollo sostenible</w:t>
      </w:r>
      <w:r w:rsidR="00A12D84" w:rsidRPr="008F486E">
        <w:rPr>
          <w:rFonts w:ascii="Arial" w:hAnsi="Arial" w:cs="Arial"/>
          <w:sz w:val="24"/>
          <w:szCs w:val="24"/>
        </w:rPr>
        <w:t xml:space="preserve"> como el desarrollo que corresponde a las necesidades del presente</w:t>
      </w:r>
      <w:r w:rsidR="00727EF2" w:rsidRPr="008F486E">
        <w:rPr>
          <w:rFonts w:ascii="Arial" w:hAnsi="Arial" w:cs="Arial"/>
          <w:sz w:val="24"/>
          <w:szCs w:val="24"/>
        </w:rPr>
        <w:t>,</w:t>
      </w:r>
      <w:r w:rsidR="00A12D84" w:rsidRPr="008F486E">
        <w:rPr>
          <w:rFonts w:ascii="Arial" w:hAnsi="Arial" w:cs="Arial"/>
          <w:sz w:val="24"/>
          <w:szCs w:val="24"/>
        </w:rPr>
        <w:t xml:space="preserve"> sin comprometer la capacidad de las generaciones futuras a responder a ellas</w:t>
      </w:r>
      <w:r w:rsidR="00727EF2" w:rsidRPr="008F486E">
        <w:rPr>
          <w:rFonts w:ascii="Arial" w:hAnsi="Arial" w:cs="Arial"/>
          <w:sz w:val="24"/>
          <w:szCs w:val="24"/>
        </w:rPr>
        <w:t>,</w:t>
      </w:r>
      <w:r w:rsidR="00A12D84" w:rsidRPr="008F486E">
        <w:rPr>
          <w:rFonts w:ascii="Arial" w:hAnsi="Arial" w:cs="Arial"/>
          <w:sz w:val="24"/>
          <w:szCs w:val="24"/>
        </w:rPr>
        <w:t xml:space="preserve"> buscando sostener un nivel de producción por más tiempo.</w:t>
      </w:r>
      <w:r w:rsidR="00FE4CCF" w:rsidRPr="008F486E">
        <w:rPr>
          <w:rFonts w:ascii="Arial" w:hAnsi="Arial" w:cs="Arial"/>
          <w:sz w:val="24"/>
          <w:szCs w:val="24"/>
        </w:rPr>
        <w:t xml:space="preserve"> </w:t>
      </w:r>
      <w:r w:rsidR="00A12D84" w:rsidRPr="008F486E">
        <w:rPr>
          <w:rFonts w:ascii="Arial" w:hAnsi="Arial" w:cs="Arial"/>
          <w:sz w:val="24"/>
          <w:szCs w:val="24"/>
        </w:rPr>
        <w:t>El desarrollo so</w:t>
      </w:r>
      <w:r w:rsidR="002F377E" w:rsidRPr="008F486E">
        <w:rPr>
          <w:rFonts w:ascii="Arial" w:hAnsi="Arial" w:cs="Arial"/>
          <w:sz w:val="24"/>
          <w:szCs w:val="24"/>
        </w:rPr>
        <w:t>stenible combina tres criterios</w:t>
      </w:r>
      <w:r w:rsidR="00A12D84" w:rsidRPr="008F486E">
        <w:rPr>
          <w:rFonts w:ascii="Arial" w:hAnsi="Arial" w:cs="Arial"/>
          <w:sz w:val="24"/>
          <w:szCs w:val="24"/>
        </w:rPr>
        <w:t>: el económico, el social y el ambiental. Desde la perspectiva</w:t>
      </w:r>
      <w:r w:rsidR="006853EB" w:rsidRPr="008F486E">
        <w:rPr>
          <w:rFonts w:ascii="Arial" w:hAnsi="Arial" w:cs="Arial"/>
          <w:sz w:val="24"/>
          <w:szCs w:val="24"/>
        </w:rPr>
        <w:t xml:space="preserve"> espacial, </w:t>
      </w:r>
      <w:r w:rsidR="006853EB" w:rsidRPr="008F486E">
        <w:rPr>
          <w:rFonts w:ascii="Arial" w:hAnsi="Arial" w:cs="Arial"/>
          <w:i/>
          <w:sz w:val="24"/>
          <w:szCs w:val="24"/>
        </w:rPr>
        <w:lastRenderedPageBreak/>
        <w:t>el desarrollo sostenible es parte del proceso de globalización</w:t>
      </w:r>
      <w:r w:rsidR="006853EB" w:rsidRPr="008F486E">
        <w:rPr>
          <w:rFonts w:ascii="Arial" w:hAnsi="Arial" w:cs="Arial"/>
          <w:sz w:val="24"/>
          <w:szCs w:val="24"/>
        </w:rPr>
        <w:t xml:space="preserve"> ya que los beneficios de la tecnología espacial han dado lugar a la introducción de estrategias de gestión del desarrollo económico regional, y a innovaciones útiles en numerosas esferas de actividad científica y</w:t>
      </w:r>
      <w:r w:rsidR="00727EF2" w:rsidRPr="008F486E">
        <w:rPr>
          <w:rFonts w:ascii="Arial" w:hAnsi="Arial" w:cs="Arial"/>
          <w:sz w:val="24"/>
          <w:szCs w:val="24"/>
        </w:rPr>
        <w:t xml:space="preserve"> prácticas de la sociedad civil </w:t>
      </w:r>
      <w:r w:rsidR="006853EB" w:rsidRPr="008F486E">
        <w:rPr>
          <w:rFonts w:ascii="Arial" w:hAnsi="Arial" w:cs="Arial"/>
          <w:sz w:val="24"/>
          <w:szCs w:val="24"/>
        </w:rPr>
        <w:t>: medicina, biología, química, astronomía, agricultura, geología, cartografía, aviación, transporte terrestre y marítimo, robótica, lucha contra incendios, la protección de la naturaleza y un largo etcétera</w:t>
      </w:r>
      <w:r w:rsidR="00C23B4A" w:rsidRPr="008F486E">
        <w:rPr>
          <w:rFonts w:ascii="Arial" w:hAnsi="Arial" w:cs="Arial"/>
          <w:sz w:val="24"/>
          <w:szCs w:val="24"/>
        </w:rPr>
        <w:t xml:space="preserve">. Por tanto, los beneficios de la tecnología espacial son un </w:t>
      </w:r>
      <w:r w:rsidR="007D2090" w:rsidRPr="008F486E">
        <w:rPr>
          <w:rFonts w:ascii="Arial" w:hAnsi="Arial" w:cs="Arial"/>
          <w:sz w:val="24"/>
          <w:szCs w:val="24"/>
        </w:rPr>
        <w:t xml:space="preserve">potente motor de innovación </w:t>
      </w:r>
      <w:r w:rsidR="00C23B4A" w:rsidRPr="008F486E">
        <w:rPr>
          <w:rFonts w:ascii="Arial" w:hAnsi="Arial" w:cs="Arial"/>
          <w:sz w:val="24"/>
          <w:szCs w:val="24"/>
        </w:rPr>
        <w:t>y de crecimiento, tanto en los sectores industrial como de servicios y que pueden aprovecharse para cumplir objetivos sociales y económicos y promover el desarrollo de la</w:t>
      </w:r>
      <w:r w:rsidR="00915AF8" w:rsidRPr="008F486E">
        <w:rPr>
          <w:rFonts w:ascii="Arial" w:hAnsi="Arial" w:cs="Arial"/>
          <w:sz w:val="24"/>
          <w:szCs w:val="24"/>
        </w:rPr>
        <w:t>s infraestructuras nacionales</w:t>
      </w:r>
      <w:r w:rsidR="00C23B4A" w:rsidRPr="008F486E">
        <w:rPr>
          <w:rFonts w:ascii="Arial" w:hAnsi="Arial" w:cs="Arial"/>
          <w:sz w:val="24"/>
          <w:szCs w:val="24"/>
        </w:rPr>
        <w:t xml:space="preserve"> d</w:t>
      </w:r>
      <w:r w:rsidR="00915AF8" w:rsidRPr="008F486E">
        <w:rPr>
          <w:rFonts w:ascii="Arial" w:hAnsi="Arial" w:cs="Arial"/>
          <w:sz w:val="24"/>
          <w:szCs w:val="24"/>
        </w:rPr>
        <w:t>e comunicaciones. Los países en desarrollo son ahora importantes compradores de productos y servicios relacionados con la tecnología espacial y representan una base de clientes importante para la industria espacial. Sin embargo, es esencial que estos países aumenten sus propias capacidades para participar en este mercado no sólo como clientes sino también como posibles v</w:t>
      </w:r>
      <w:r w:rsidR="009B46B0" w:rsidRPr="008F486E">
        <w:rPr>
          <w:rFonts w:ascii="Arial" w:hAnsi="Arial" w:cs="Arial"/>
          <w:sz w:val="24"/>
          <w:szCs w:val="24"/>
        </w:rPr>
        <w:t>endedores de tecnología</w:t>
      </w:r>
      <w:r w:rsidR="00915AF8" w:rsidRPr="008F486E">
        <w:rPr>
          <w:rFonts w:ascii="Arial" w:hAnsi="Arial" w:cs="Arial"/>
          <w:sz w:val="24"/>
          <w:szCs w:val="24"/>
        </w:rPr>
        <w:t xml:space="preserve"> y proveedores de servicios</w:t>
      </w:r>
      <w:r w:rsidR="006853EB" w:rsidRPr="008F486E">
        <w:rPr>
          <w:rFonts w:ascii="Arial" w:hAnsi="Arial" w:cs="Arial"/>
          <w:sz w:val="24"/>
          <w:szCs w:val="24"/>
        </w:rPr>
        <w:t>.</w:t>
      </w:r>
    </w:p>
    <w:p w:rsidR="00AD0F70" w:rsidRPr="008F486E" w:rsidRDefault="00AD0F70" w:rsidP="008F486E">
      <w:pPr>
        <w:spacing w:line="360" w:lineRule="auto"/>
        <w:ind w:firstLine="360"/>
        <w:jc w:val="both"/>
        <w:rPr>
          <w:rFonts w:ascii="Arial" w:hAnsi="Arial" w:cs="Arial"/>
          <w:sz w:val="24"/>
          <w:szCs w:val="24"/>
        </w:rPr>
      </w:pPr>
    </w:p>
    <w:p w:rsidR="006F2B78" w:rsidRPr="008F486E" w:rsidRDefault="00FE4CCF"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En </w:t>
      </w:r>
      <w:r w:rsidR="008F0815" w:rsidRPr="008F486E">
        <w:rPr>
          <w:rFonts w:ascii="Arial" w:hAnsi="Arial" w:cs="Arial"/>
          <w:sz w:val="24"/>
          <w:szCs w:val="24"/>
        </w:rPr>
        <w:t>UNISPACE III (Tercera Conferencia de las Naciones Unidas sobre la Exploración y Utilización del Espacio Ultraterrestre con Fines Pací</w:t>
      </w:r>
      <w:r w:rsidR="00DC7A0D" w:rsidRPr="008F486E">
        <w:rPr>
          <w:rFonts w:ascii="Arial" w:hAnsi="Arial" w:cs="Arial"/>
          <w:sz w:val="24"/>
          <w:szCs w:val="24"/>
        </w:rPr>
        <w:t xml:space="preserve">ficos) </w:t>
      </w:r>
      <w:r w:rsidRPr="008F486E">
        <w:rPr>
          <w:rFonts w:ascii="Arial" w:hAnsi="Arial" w:cs="Arial"/>
          <w:sz w:val="24"/>
          <w:szCs w:val="24"/>
        </w:rPr>
        <w:t xml:space="preserve">se </w:t>
      </w:r>
      <w:r w:rsidR="00DC7A0D" w:rsidRPr="008F486E">
        <w:rPr>
          <w:rFonts w:ascii="Arial" w:hAnsi="Arial" w:cs="Arial"/>
          <w:sz w:val="24"/>
          <w:szCs w:val="24"/>
        </w:rPr>
        <w:t>aprobó</w:t>
      </w:r>
      <w:r w:rsidRPr="008F486E">
        <w:rPr>
          <w:rFonts w:ascii="Arial" w:hAnsi="Arial" w:cs="Arial"/>
          <w:sz w:val="24"/>
          <w:szCs w:val="24"/>
        </w:rPr>
        <w:t xml:space="preserve"> la</w:t>
      </w:r>
      <w:r w:rsidR="00CF50A5" w:rsidRPr="008F486E">
        <w:rPr>
          <w:rFonts w:ascii="Arial" w:hAnsi="Arial" w:cs="Arial"/>
          <w:sz w:val="24"/>
          <w:szCs w:val="24"/>
        </w:rPr>
        <w:t xml:space="preserve"> resolución N</w:t>
      </w:r>
      <w:r w:rsidR="008F0815" w:rsidRPr="008F486E">
        <w:rPr>
          <w:rFonts w:ascii="Arial" w:hAnsi="Arial" w:cs="Arial"/>
          <w:sz w:val="24"/>
          <w:szCs w:val="24"/>
        </w:rPr>
        <w:t>º 1 titulada “</w:t>
      </w:r>
      <w:r w:rsidR="008F0815" w:rsidRPr="008F486E">
        <w:rPr>
          <w:rFonts w:ascii="Arial" w:hAnsi="Arial" w:cs="Arial"/>
          <w:b/>
          <w:i/>
          <w:sz w:val="24"/>
          <w:szCs w:val="24"/>
        </w:rPr>
        <w:t>El milenio espacial : la Declaración de Viena sobre el Espacio y el desarrollo humano</w:t>
      </w:r>
      <w:r w:rsidR="008F0815" w:rsidRPr="008F486E">
        <w:rPr>
          <w:rFonts w:ascii="Arial" w:hAnsi="Arial" w:cs="Arial"/>
          <w:sz w:val="24"/>
          <w:szCs w:val="24"/>
        </w:rPr>
        <w:t xml:space="preserve">” </w:t>
      </w:r>
      <w:r w:rsidR="008F0815" w:rsidRPr="008F486E">
        <w:rPr>
          <w:rFonts w:ascii="Arial" w:hAnsi="Arial" w:cs="Arial"/>
          <w:i/>
          <w:sz w:val="24"/>
          <w:szCs w:val="24"/>
        </w:rPr>
        <w:t>reconociendo la importancia</w:t>
      </w:r>
      <w:r w:rsidR="003306F0" w:rsidRPr="008F486E">
        <w:rPr>
          <w:rFonts w:ascii="Arial" w:hAnsi="Arial" w:cs="Arial"/>
          <w:i/>
          <w:sz w:val="24"/>
          <w:szCs w:val="24"/>
        </w:rPr>
        <w:t xml:space="preserve"> de la ciencia y de las aplicaciones espaciales para el conocimiento fundamental del universo, la educación, la salud, la vigilancia ambiental, la gestión de recursos naturales, la gestión de desastres, las previsiones </w:t>
      </w:r>
      <w:r w:rsidRPr="008F486E">
        <w:rPr>
          <w:rFonts w:ascii="Arial" w:hAnsi="Arial" w:cs="Arial"/>
          <w:i/>
          <w:sz w:val="24"/>
          <w:szCs w:val="24"/>
        </w:rPr>
        <w:t xml:space="preserve">meteorológicas </w:t>
      </w:r>
      <w:r w:rsidR="003306F0" w:rsidRPr="008F486E">
        <w:rPr>
          <w:rFonts w:ascii="Arial" w:hAnsi="Arial" w:cs="Arial"/>
          <w:i/>
          <w:sz w:val="24"/>
          <w:szCs w:val="24"/>
        </w:rPr>
        <w:t>y la modelización del clima, la navegación, las comunicaciones por satélite y la importante contribución de la ciencia y la tecnología espaciales al bienestar de la humanidad y concretamente al desarrollo económico, social y cultural</w:t>
      </w:r>
      <w:r w:rsidR="006F2B78" w:rsidRPr="008F486E">
        <w:rPr>
          <w:rStyle w:val="Refdenotaalpie"/>
          <w:rFonts w:ascii="Arial" w:hAnsi="Arial" w:cs="Arial"/>
          <w:i/>
          <w:sz w:val="24"/>
          <w:szCs w:val="24"/>
        </w:rPr>
        <w:footnoteReference w:id="2"/>
      </w:r>
      <w:r w:rsidR="006F2B78" w:rsidRPr="008F486E">
        <w:rPr>
          <w:rFonts w:ascii="Arial" w:hAnsi="Arial" w:cs="Arial"/>
          <w:sz w:val="24"/>
          <w:szCs w:val="24"/>
        </w:rPr>
        <w:t xml:space="preserve">. En la </w:t>
      </w:r>
      <w:r w:rsidR="006420FD" w:rsidRPr="008F486E">
        <w:rPr>
          <w:rFonts w:ascii="Arial" w:hAnsi="Arial" w:cs="Arial"/>
          <w:b/>
          <w:i/>
          <w:sz w:val="24"/>
          <w:szCs w:val="24"/>
        </w:rPr>
        <w:t>Declaración</w:t>
      </w:r>
      <w:r w:rsidR="00FF0B64" w:rsidRPr="008F486E">
        <w:rPr>
          <w:rFonts w:ascii="Arial" w:hAnsi="Arial" w:cs="Arial"/>
          <w:b/>
          <w:i/>
          <w:sz w:val="24"/>
          <w:szCs w:val="24"/>
        </w:rPr>
        <w:t xml:space="preserve"> del Milenio</w:t>
      </w:r>
      <w:r w:rsidR="003306F0" w:rsidRPr="008F486E">
        <w:rPr>
          <w:rFonts w:ascii="Arial" w:hAnsi="Arial" w:cs="Arial"/>
          <w:sz w:val="24"/>
          <w:szCs w:val="24"/>
        </w:rPr>
        <w:t xml:space="preserve"> se formul</w:t>
      </w:r>
      <w:r w:rsidR="00FF0B64" w:rsidRPr="008F486E">
        <w:rPr>
          <w:rFonts w:ascii="Arial" w:hAnsi="Arial" w:cs="Arial"/>
          <w:sz w:val="24"/>
          <w:szCs w:val="24"/>
        </w:rPr>
        <w:t>aron una serie de retos para el futuro como</w:t>
      </w:r>
      <w:r w:rsidR="003306F0" w:rsidRPr="008F486E">
        <w:rPr>
          <w:rFonts w:ascii="Arial" w:hAnsi="Arial" w:cs="Arial"/>
          <w:sz w:val="24"/>
          <w:szCs w:val="24"/>
        </w:rPr>
        <w:t xml:space="preserve"> una </w:t>
      </w:r>
      <w:r w:rsidR="003306F0" w:rsidRPr="008F486E">
        <w:rPr>
          <w:rFonts w:ascii="Arial" w:hAnsi="Arial" w:cs="Arial"/>
          <w:i/>
          <w:sz w:val="24"/>
          <w:szCs w:val="24"/>
        </w:rPr>
        <w:t>estrategia dirigida a enfrentar los problemas mundiales mediante la aplica</w:t>
      </w:r>
      <w:r w:rsidR="00FF0B64" w:rsidRPr="008F486E">
        <w:rPr>
          <w:rFonts w:ascii="Arial" w:hAnsi="Arial" w:cs="Arial"/>
          <w:i/>
          <w:sz w:val="24"/>
          <w:szCs w:val="24"/>
        </w:rPr>
        <w:t>ción de la tecnología espacial</w:t>
      </w:r>
      <w:r w:rsidR="00FF0B64" w:rsidRPr="008F486E">
        <w:rPr>
          <w:rFonts w:ascii="Arial" w:hAnsi="Arial" w:cs="Arial"/>
          <w:sz w:val="24"/>
          <w:szCs w:val="24"/>
        </w:rPr>
        <w:t xml:space="preserve">: </w:t>
      </w:r>
    </w:p>
    <w:p w:rsidR="006F2B78" w:rsidRPr="008F486E" w:rsidRDefault="00FF0B64" w:rsidP="008F486E">
      <w:pPr>
        <w:pStyle w:val="Prrafodelista"/>
        <w:numPr>
          <w:ilvl w:val="0"/>
          <w:numId w:val="22"/>
        </w:numPr>
        <w:spacing w:line="360" w:lineRule="auto"/>
        <w:jc w:val="both"/>
        <w:rPr>
          <w:rFonts w:ascii="Arial" w:hAnsi="Arial" w:cs="Arial"/>
          <w:sz w:val="24"/>
          <w:szCs w:val="24"/>
        </w:rPr>
      </w:pPr>
      <w:r w:rsidRPr="008F486E">
        <w:rPr>
          <w:rFonts w:ascii="Arial" w:hAnsi="Arial" w:cs="Arial"/>
          <w:sz w:val="24"/>
          <w:szCs w:val="24"/>
        </w:rPr>
        <w:lastRenderedPageBreak/>
        <w:t xml:space="preserve">Protección del medioambiente de la Tierra; </w:t>
      </w:r>
    </w:p>
    <w:p w:rsidR="006F2B78" w:rsidRPr="008F486E" w:rsidRDefault="00500B3B" w:rsidP="008F486E">
      <w:pPr>
        <w:pStyle w:val="Prrafodelista"/>
        <w:numPr>
          <w:ilvl w:val="0"/>
          <w:numId w:val="22"/>
        </w:numPr>
        <w:spacing w:line="360" w:lineRule="auto"/>
        <w:jc w:val="both"/>
        <w:rPr>
          <w:rFonts w:ascii="Arial" w:hAnsi="Arial" w:cs="Arial"/>
          <w:sz w:val="24"/>
          <w:szCs w:val="24"/>
        </w:rPr>
      </w:pPr>
      <w:r w:rsidRPr="008F486E">
        <w:rPr>
          <w:rFonts w:ascii="Arial" w:hAnsi="Arial" w:cs="Arial"/>
          <w:sz w:val="24"/>
          <w:szCs w:val="24"/>
        </w:rPr>
        <w:t>S</w:t>
      </w:r>
      <w:r w:rsidR="00FF0B64" w:rsidRPr="008F486E">
        <w:rPr>
          <w:rFonts w:ascii="Arial" w:hAnsi="Arial" w:cs="Arial"/>
          <w:sz w:val="24"/>
          <w:szCs w:val="24"/>
        </w:rPr>
        <w:t xml:space="preserve">eguridad, desarrollo y bienestar humano; </w:t>
      </w:r>
    </w:p>
    <w:p w:rsidR="006F2B78" w:rsidRPr="008F486E" w:rsidRDefault="00500B3B" w:rsidP="008F486E">
      <w:pPr>
        <w:pStyle w:val="Prrafodelista"/>
        <w:numPr>
          <w:ilvl w:val="0"/>
          <w:numId w:val="22"/>
        </w:numPr>
        <w:spacing w:line="360" w:lineRule="auto"/>
        <w:jc w:val="both"/>
        <w:rPr>
          <w:rFonts w:ascii="Arial" w:hAnsi="Arial" w:cs="Arial"/>
          <w:sz w:val="24"/>
          <w:szCs w:val="24"/>
        </w:rPr>
      </w:pPr>
      <w:r w:rsidRPr="008F486E">
        <w:rPr>
          <w:rFonts w:ascii="Arial" w:hAnsi="Arial" w:cs="Arial"/>
          <w:sz w:val="24"/>
          <w:szCs w:val="24"/>
        </w:rPr>
        <w:t>F</w:t>
      </w:r>
      <w:r w:rsidR="00FF0B64" w:rsidRPr="008F486E">
        <w:rPr>
          <w:rFonts w:ascii="Arial" w:hAnsi="Arial" w:cs="Arial"/>
          <w:sz w:val="24"/>
          <w:szCs w:val="24"/>
        </w:rPr>
        <w:t>omento del conocimiento científico del espacio y protección del medi</w:t>
      </w:r>
      <w:r w:rsidR="006F2B78" w:rsidRPr="008F486E">
        <w:rPr>
          <w:rFonts w:ascii="Arial" w:hAnsi="Arial" w:cs="Arial"/>
          <w:sz w:val="24"/>
          <w:szCs w:val="24"/>
        </w:rPr>
        <w:t>o</w:t>
      </w:r>
      <w:r w:rsidR="00FF0B64" w:rsidRPr="008F486E">
        <w:rPr>
          <w:rFonts w:ascii="Arial" w:hAnsi="Arial" w:cs="Arial"/>
          <w:sz w:val="24"/>
          <w:szCs w:val="24"/>
        </w:rPr>
        <w:t xml:space="preserve">ambiente espacial; </w:t>
      </w:r>
    </w:p>
    <w:p w:rsidR="00500B3B" w:rsidRPr="008F486E" w:rsidRDefault="00500B3B" w:rsidP="008F486E">
      <w:pPr>
        <w:pStyle w:val="Prrafodelista"/>
        <w:numPr>
          <w:ilvl w:val="0"/>
          <w:numId w:val="22"/>
        </w:numPr>
        <w:spacing w:line="360" w:lineRule="auto"/>
        <w:jc w:val="both"/>
        <w:rPr>
          <w:rFonts w:ascii="Arial" w:hAnsi="Arial" w:cs="Arial"/>
          <w:sz w:val="24"/>
          <w:szCs w:val="24"/>
        </w:rPr>
      </w:pPr>
      <w:r w:rsidRPr="008F486E">
        <w:rPr>
          <w:rFonts w:ascii="Arial" w:hAnsi="Arial" w:cs="Arial"/>
          <w:sz w:val="24"/>
          <w:szCs w:val="24"/>
        </w:rPr>
        <w:t>M</w:t>
      </w:r>
      <w:r w:rsidR="00FF0B64" w:rsidRPr="008F486E">
        <w:rPr>
          <w:rFonts w:ascii="Arial" w:hAnsi="Arial" w:cs="Arial"/>
          <w:sz w:val="24"/>
          <w:szCs w:val="24"/>
        </w:rPr>
        <w:t xml:space="preserve">ejoramiento de las oportunidades </w:t>
      </w:r>
      <w:r w:rsidR="006F2B78" w:rsidRPr="008F486E">
        <w:rPr>
          <w:rFonts w:ascii="Arial" w:hAnsi="Arial" w:cs="Arial"/>
          <w:sz w:val="24"/>
          <w:szCs w:val="24"/>
        </w:rPr>
        <w:t>de educación, capacitación y sensibilización pública sobre la importancia de las actividades espaciales;</w:t>
      </w:r>
    </w:p>
    <w:p w:rsidR="00500B3B" w:rsidRPr="008F486E" w:rsidRDefault="00500B3B" w:rsidP="008F486E">
      <w:pPr>
        <w:pStyle w:val="Prrafodelista"/>
        <w:numPr>
          <w:ilvl w:val="0"/>
          <w:numId w:val="22"/>
        </w:numPr>
        <w:spacing w:line="360" w:lineRule="auto"/>
        <w:jc w:val="both"/>
        <w:rPr>
          <w:rFonts w:ascii="Arial" w:hAnsi="Arial" w:cs="Arial"/>
          <w:sz w:val="24"/>
          <w:szCs w:val="24"/>
        </w:rPr>
      </w:pPr>
      <w:r w:rsidRPr="008F486E">
        <w:rPr>
          <w:rFonts w:ascii="Arial" w:hAnsi="Arial" w:cs="Arial"/>
          <w:sz w:val="24"/>
          <w:szCs w:val="24"/>
        </w:rPr>
        <w:t xml:space="preserve"> F</w:t>
      </w:r>
      <w:r w:rsidR="006F2B78" w:rsidRPr="008F486E">
        <w:rPr>
          <w:rFonts w:ascii="Arial" w:hAnsi="Arial" w:cs="Arial"/>
          <w:sz w:val="24"/>
          <w:szCs w:val="24"/>
        </w:rPr>
        <w:t>ortalecimiento y reubicación de las actividades espaciales en el sistema de las Naciones Unidas.</w:t>
      </w:r>
    </w:p>
    <w:p w:rsidR="00AD0F70" w:rsidRPr="008F486E" w:rsidRDefault="00AD0F70" w:rsidP="008F486E">
      <w:pPr>
        <w:spacing w:line="360" w:lineRule="auto"/>
        <w:jc w:val="both"/>
        <w:rPr>
          <w:rFonts w:ascii="Arial" w:hAnsi="Arial" w:cs="Arial"/>
          <w:sz w:val="24"/>
          <w:szCs w:val="24"/>
        </w:rPr>
      </w:pPr>
    </w:p>
    <w:p w:rsidR="00915AF8" w:rsidRPr="008F486E" w:rsidRDefault="00500B3B" w:rsidP="008F486E">
      <w:pPr>
        <w:spacing w:line="360" w:lineRule="auto"/>
        <w:ind w:firstLine="360"/>
        <w:jc w:val="both"/>
        <w:rPr>
          <w:rFonts w:ascii="Arial" w:hAnsi="Arial" w:cs="Arial"/>
          <w:i/>
          <w:sz w:val="24"/>
          <w:szCs w:val="24"/>
        </w:rPr>
      </w:pPr>
      <w:r w:rsidRPr="008F486E">
        <w:rPr>
          <w:rFonts w:ascii="Arial" w:hAnsi="Arial" w:cs="Arial"/>
          <w:sz w:val="24"/>
          <w:szCs w:val="24"/>
        </w:rPr>
        <w:t>Por otro lado, l</w:t>
      </w:r>
      <w:r w:rsidR="00915AF8" w:rsidRPr="008F486E">
        <w:rPr>
          <w:rFonts w:ascii="Arial" w:hAnsi="Arial" w:cs="Arial"/>
          <w:sz w:val="24"/>
          <w:szCs w:val="24"/>
        </w:rPr>
        <w:t xml:space="preserve">os Estados han de generar confianza, estableciendo prioridades basadas en la legitimidad interna y como garantía del equilibrio y vertebración de sus territorios y sociedad, aumentando su competitividad a través de la integración regional y cooperación internacional. </w:t>
      </w:r>
      <w:r w:rsidR="004C4221" w:rsidRPr="008F486E">
        <w:rPr>
          <w:rFonts w:ascii="Arial" w:hAnsi="Arial" w:cs="Arial"/>
          <w:sz w:val="24"/>
          <w:szCs w:val="24"/>
        </w:rPr>
        <w:t xml:space="preserve">Debemos </w:t>
      </w:r>
      <w:r w:rsidR="004C4221" w:rsidRPr="008F486E">
        <w:rPr>
          <w:rFonts w:ascii="Arial" w:hAnsi="Arial" w:cs="Arial"/>
          <w:i/>
          <w:sz w:val="24"/>
          <w:szCs w:val="24"/>
        </w:rPr>
        <w:t>vincular la globalización al fomento de normas universales y a una acción concertada</w:t>
      </w:r>
      <w:r w:rsidR="004C4221" w:rsidRPr="008F486E">
        <w:rPr>
          <w:rStyle w:val="Refdenotaalpie"/>
          <w:rFonts w:ascii="Arial" w:hAnsi="Arial" w:cs="Arial"/>
          <w:i/>
          <w:sz w:val="24"/>
          <w:szCs w:val="24"/>
        </w:rPr>
        <w:footnoteReference w:id="3"/>
      </w:r>
      <w:r w:rsidR="008620AA" w:rsidRPr="008F486E">
        <w:rPr>
          <w:rFonts w:ascii="Arial" w:hAnsi="Arial" w:cs="Arial"/>
          <w:i/>
          <w:sz w:val="24"/>
          <w:szCs w:val="24"/>
        </w:rPr>
        <w:t xml:space="preserve"> y ética</w:t>
      </w:r>
      <w:r w:rsidR="004C4221" w:rsidRPr="008F486E">
        <w:rPr>
          <w:rFonts w:ascii="Arial" w:hAnsi="Arial" w:cs="Arial"/>
          <w:i/>
          <w:sz w:val="24"/>
          <w:szCs w:val="24"/>
        </w:rPr>
        <w:t>.</w:t>
      </w:r>
    </w:p>
    <w:p w:rsidR="00302AEB" w:rsidRPr="008F486E" w:rsidRDefault="00302AEB" w:rsidP="008F486E">
      <w:pPr>
        <w:spacing w:line="360" w:lineRule="auto"/>
        <w:ind w:left="360"/>
        <w:jc w:val="both"/>
        <w:rPr>
          <w:rFonts w:ascii="Arial" w:hAnsi="Arial" w:cs="Arial"/>
          <w:i/>
          <w:sz w:val="24"/>
          <w:szCs w:val="24"/>
          <w:u w:val="single"/>
        </w:rPr>
      </w:pPr>
    </w:p>
    <w:p w:rsidR="00AD0F70" w:rsidRPr="008F486E" w:rsidRDefault="00AD0F70" w:rsidP="008F486E">
      <w:pPr>
        <w:spacing w:line="360" w:lineRule="auto"/>
        <w:ind w:left="360"/>
        <w:jc w:val="both"/>
        <w:rPr>
          <w:rFonts w:ascii="Arial" w:hAnsi="Arial" w:cs="Arial"/>
          <w:i/>
          <w:sz w:val="24"/>
          <w:szCs w:val="24"/>
          <w:u w:val="single"/>
        </w:rPr>
      </w:pPr>
    </w:p>
    <w:p w:rsidR="00AD0F70" w:rsidRPr="008F486E" w:rsidRDefault="00AD0F70" w:rsidP="008F486E">
      <w:pPr>
        <w:spacing w:line="360" w:lineRule="auto"/>
        <w:ind w:left="360"/>
        <w:jc w:val="both"/>
        <w:rPr>
          <w:rFonts w:ascii="Arial" w:hAnsi="Arial" w:cs="Arial"/>
          <w:i/>
          <w:sz w:val="24"/>
          <w:szCs w:val="24"/>
          <w:u w:val="single"/>
        </w:rPr>
      </w:pPr>
    </w:p>
    <w:p w:rsidR="00302AEB" w:rsidRPr="008F486E" w:rsidRDefault="00B94FDD" w:rsidP="008F486E">
      <w:pPr>
        <w:spacing w:line="360" w:lineRule="auto"/>
        <w:ind w:left="360"/>
        <w:jc w:val="both"/>
        <w:rPr>
          <w:rFonts w:ascii="Arial" w:hAnsi="Arial" w:cs="Arial"/>
          <w:b/>
          <w:sz w:val="24"/>
          <w:szCs w:val="24"/>
        </w:rPr>
      </w:pPr>
      <w:r w:rsidRPr="008F486E">
        <w:rPr>
          <w:rFonts w:ascii="Arial" w:hAnsi="Arial" w:cs="Arial"/>
          <w:b/>
          <w:sz w:val="24"/>
          <w:szCs w:val="24"/>
        </w:rPr>
        <w:t>II.</w:t>
      </w:r>
      <w:r w:rsidR="00302AEB" w:rsidRPr="008F486E">
        <w:rPr>
          <w:rFonts w:ascii="Arial" w:hAnsi="Arial" w:cs="Arial"/>
          <w:b/>
          <w:sz w:val="24"/>
          <w:szCs w:val="24"/>
        </w:rPr>
        <w:t xml:space="preserve"> ASPECTOS JURÍDICOS DE LA GLOBALIZACIÓN</w:t>
      </w:r>
    </w:p>
    <w:p w:rsidR="00500B3B" w:rsidRPr="008F486E" w:rsidRDefault="00302AEB" w:rsidP="008F486E">
      <w:pPr>
        <w:pStyle w:val="Prrafodelista"/>
        <w:numPr>
          <w:ilvl w:val="1"/>
          <w:numId w:val="4"/>
        </w:numPr>
        <w:spacing w:line="360" w:lineRule="auto"/>
        <w:jc w:val="both"/>
        <w:rPr>
          <w:rFonts w:ascii="Arial" w:hAnsi="Arial" w:cs="Arial"/>
          <w:b/>
          <w:sz w:val="24"/>
          <w:szCs w:val="24"/>
        </w:rPr>
      </w:pPr>
      <w:r w:rsidRPr="008F486E">
        <w:rPr>
          <w:rFonts w:ascii="Arial" w:hAnsi="Arial" w:cs="Arial"/>
          <w:b/>
          <w:sz w:val="24"/>
          <w:szCs w:val="24"/>
        </w:rPr>
        <w:t>Ámbito de las Naciones Unidas.</w:t>
      </w:r>
    </w:p>
    <w:p w:rsidR="00302AEB" w:rsidRPr="008F486E" w:rsidRDefault="00302AEB" w:rsidP="008F486E">
      <w:pPr>
        <w:pStyle w:val="Prrafodelista"/>
        <w:spacing w:line="360" w:lineRule="auto"/>
        <w:jc w:val="both"/>
        <w:rPr>
          <w:rFonts w:ascii="Arial" w:hAnsi="Arial" w:cs="Arial"/>
          <w:b/>
          <w:sz w:val="24"/>
          <w:szCs w:val="24"/>
        </w:rPr>
      </w:pPr>
    </w:p>
    <w:p w:rsidR="00FE4CCF" w:rsidRPr="008F486E" w:rsidRDefault="00302AEB" w:rsidP="008F486E">
      <w:pPr>
        <w:pStyle w:val="Prrafodelista"/>
        <w:numPr>
          <w:ilvl w:val="2"/>
          <w:numId w:val="4"/>
        </w:numPr>
        <w:spacing w:line="360" w:lineRule="auto"/>
        <w:jc w:val="both"/>
        <w:rPr>
          <w:rFonts w:ascii="Arial" w:hAnsi="Arial" w:cs="Arial"/>
          <w:b/>
          <w:i/>
          <w:sz w:val="24"/>
          <w:szCs w:val="24"/>
        </w:rPr>
      </w:pPr>
      <w:r w:rsidRPr="008F486E">
        <w:rPr>
          <w:rFonts w:ascii="Arial" w:hAnsi="Arial" w:cs="Arial"/>
          <w:b/>
          <w:i/>
          <w:sz w:val="24"/>
          <w:szCs w:val="24"/>
        </w:rPr>
        <w:t>UNESCO</w:t>
      </w:r>
    </w:p>
    <w:p w:rsidR="00110677" w:rsidRPr="008F486E" w:rsidRDefault="008620AA" w:rsidP="008F486E">
      <w:pPr>
        <w:spacing w:line="360" w:lineRule="auto"/>
        <w:ind w:firstLine="360"/>
        <w:jc w:val="both"/>
        <w:rPr>
          <w:rFonts w:ascii="Arial" w:hAnsi="Arial" w:cs="Arial"/>
          <w:b/>
          <w:i/>
          <w:sz w:val="24"/>
          <w:szCs w:val="24"/>
        </w:rPr>
      </w:pPr>
      <w:r w:rsidRPr="008F486E">
        <w:rPr>
          <w:rFonts w:ascii="Arial" w:hAnsi="Arial" w:cs="Arial"/>
          <w:i/>
          <w:sz w:val="24"/>
          <w:szCs w:val="24"/>
        </w:rPr>
        <w:t>La Carta de la Tierra</w:t>
      </w:r>
      <w:r w:rsidR="0020455F" w:rsidRPr="008F486E">
        <w:rPr>
          <w:rFonts w:ascii="Arial" w:hAnsi="Arial" w:cs="Arial"/>
          <w:sz w:val="24"/>
          <w:szCs w:val="24"/>
        </w:rPr>
        <w:t xml:space="preserve"> es una declaración de principios éticos fundamentales para construir una sociedad internacional justa, sostenible</w:t>
      </w:r>
      <w:r w:rsidR="00672789" w:rsidRPr="008F486E">
        <w:rPr>
          <w:rFonts w:ascii="Arial" w:hAnsi="Arial" w:cs="Arial"/>
          <w:sz w:val="24"/>
          <w:szCs w:val="24"/>
        </w:rPr>
        <w:t xml:space="preserve"> y pacífica en el siglo XXI</w:t>
      </w:r>
      <w:r w:rsidR="0020455F" w:rsidRPr="008F486E">
        <w:rPr>
          <w:rFonts w:ascii="Arial" w:hAnsi="Arial" w:cs="Arial"/>
          <w:sz w:val="24"/>
          <w:szCs w:val="24"/>
        </w:rPr>
        <w:t>.</w:t>
      </w:r>
      <w:r w:rsidR="004E7BAB" w:rsidRPr="008F486E">
        <w:rPr>
          <w:rFonts w:ascii="Arial" w:hAnsi="Arial" w:cs="Arial"/>
          <w:sz w:val="24"/>
          <w:szCs w:val="24"/>
        </w:rPr>
        <w:t xml:space="preserve"> </w:t>
      </w:r>
      <w:r w:rsidR="009B46B0" w:rsidRPr="008F486E">
        <w:rPr>
          <w:rFonts w:ascii="Arial" w:hAnsi="Arial" w:cs="Arial"/>
          <w:sz w:val="24"/>
          <w:szCs w:val="24"/>
        </w:rPr>
        <w:t>“</w:t>
      </w:r>
      <w:r w:rsidR="00A56FAE" w:rsidRPr="008F486E">
        <w:rPr>
          <w:rFonts w:ascii="Arial" w:hAnsi="Arial" w:cs="Arial"/>
          <w:i/>
          <w:sz w:val="24"/>
          <w:szCs w:val="24"/>
        </w:rPr>
        <w:t>E</w:t>
      </w:r>
      <w:r w:rsidR="00672789" w:rsidRPr="008F486E">
        <w:rPr>
          <w:rFonts w:ascii="Arial" w:hAnsi="Arial" w:cs="Arial"/>
          <w:i/>
          <w:sz w:val="24"/>
          <w:szCs w:val="24"/>
        </w:rPr>
        <w:t>l surgimiento de una sociedad civil global</w:t>
      </w:r>
      <w:r w:rsidR="00672789" w:rsidRPr="008F486E">
        <w:rPr>
          <w:rFonts w:ascii="Arial" w:hAnsi="Arial" w:cs="Arial"/>
          <w:sz w:val="24"/>
          <w:szCs w:val="24"/>
        </w:rPr>
        <w:t xml:space="preserve"> está creando nuevas oportunidades para construir un mundo democrático y humanitario. Nuestros retos ambientales y económicos, políticos, sociales y espirituales están </w:t>
      </w:r>
      <w:r w:rsidR="00672789" w:rsidRPr="008F486E">
        <w:rPr>
          <w:rFonts w:ascii="Arial" w:hAnsi="Arial" w:cs="Arial"/>
          <w:sz w:val="24"/>
          <w:szCs w:val="24"/>
        </w:rPr>
        <w:lastRenderedPageBreak/>
        <w:t>interrelacionados y juntos podemos proponer y concretar soluciones comprensivas”.</w:t>
      </w:r>
      <w:r w:rsidR="00A56FAE" w:rsidRPr="008F486E">
        <w:rPr>
          <w:rFonts w:ascii="Arial" w:hAnsi="Arial" w:cs="Arial"/>
          <w:sz w:val="24"/>
          <w:szCs w:val="24"/>
        </w:rPr>
        <w:t xml:space="preserve"> </w:t>
      </w:r>
    </w:p>
    <w:p w:rsidR="00672789" w:rsidRPr="008F486E" w:rsidRDefault="00672789" w:rsidP="008F486E">
      <w:pPr>
        <w:spacing w:line="360" w:lineRule="auto"/>
        <w:ind w:firstLine="360"/>
        <w:jc w:val="both"/>
        <w:rPr>
          <w:rFonts w:ascii="Arial" w:hAnsi="Arial" w:cs="Arial"/>
          <w:sz w:val="24"/>
          <w:szCs w:val="24"/>
        </w:rPr>
      </w:pPr>
      <w:r w:rsidRPr="008F486E">
        <w:rPr>
          <w:rFonts w:ascii="Arial" w:hAnsi="Arial" w:cs="Arial"/>
          <w:sz w:val="24"/>
          <w:szCs w:val="24"/>
        </w:rPr>
        <w:t>El texto de la Carta</w:t>
      </w:r>
      <w:r w:rsidRPr="008F486E">
        <w:rPr>
          <w:rStyle w:val="Refdenotaalpie"/>
          <w:rFonts w:ascii="Arial" w:hAnsi="Arial" w:cs="Arial"/>
          <w:sz w:val="24"/>
          <w:szCs w:val="24"/>
        </w:rPr>
        <w:footnoteReference w:id="4"/>
      </w:r>
      <w:r w:rsidRPr="008F486E">
        <w:rPr>
          <w:rFonts w:ascii="Arial" w:hAnsi="Arial" w:cs="Arial"/>
          <w:sz w:val="24"/>
          <w:szCs w:val="24"/>
        </w:rPr>
        <w:t xml:space="preserve"> está estructurado en cuatro principios básicos desplegados en dieciséis principios generales, desarrollados y complementados, a su vez, en sesenta y un principios de detalle o apoyo. Todos ellos van precedidos de un Preámbulo y finalizan con un texto de Conclusión “El camino hacia adelante”. La vers</w:t>
      </w:r>
      <w:r w:rsidR="009B46B0" w:rsidRPr="008F486E">
        <w:rPr>
          <w:rFonts w:ascii="Arial" w:hAnsi="Arial" w:cs="Arial"/>
          <w:sz w:val="24"/>
          <w:szCs w:val="24"/>
        </w:rPr>
        <w:t>ión final de la Carta se aprobó</w:t>
      </w:r>
      <w:r w:rsidRPr="008F486E">
        <w:rPr>
          <w:rFonts w:ascii="Arial" w:hAnsi="Arial" w:cs="Arial"/>
          <w:sz w:val="24"/>
          <w:szCs w:val="24"/>
        </w:rPr>
        <w:t xml:space="preserve"> en la reunión celebrada en la sede de la UNESCO en París, en marzo de 2000 y su lanzamiento oficial tuvo lugar en el Palacio de la Paz de la H</w:t>
      </w:r>
      <w:r w:rsidR="00C21927" w:rsidRPr="008F486E">
        <w:rPr>
          <w:rFonts w:ascii="Arial" w:hAnsi="Arial" w:cs="Arial"/>
          <w:sz w:val="24"/>
          <w:szCs w:val="24"/>
        </w:rPr>
        <w:t>aya, el 29 de junio de 2000.</w:t>
      </w:r>
      <w:r w:rsidRPr="008F486E">
        <w:rPr>
          <w:rFonts w:ascii="Arial" w:hAnsi="Arial" w:cs="Arial"/>
          <w:sz w:val="24"/>
          <w:szCs w:val="24"/>
        </w:rPr>
        <w:t xml:space="preserve"> </w:t>
      </w:r>
    </w:p>
    <w:p w:rsidR="00302AEB" w:rsidRPr="008F486E" w:rsidRDefault="00110677" w:rsidP="008F486E">
      <w:pPr>
        <w:spacing w:line="360" w:lineRule="auto"/>
        <w:ind w:firstLine="360"/>
        <w:jc w:val="both"/>
        <w:rPr>
          <w:rFonts w:ascii="Arial" w:hAnsi="Arial" w:cs="Arial"/>
          <w:sz w:val="24"/>
          <w:szCs w:val="24"/>
        </w:rPr>
      </w:pPr>
      <w:r w:rsidRPr="008F486E">
        <w:rPr>
          <w:rFonts w:ascii="Arial" w:hAnsi="Arial" w:cs="Arial"/>
          <w:sz w:val="24"/>
          <w:szCs w:val="24"/>
        </w:rPr>
        <w:t>Como antec</w:t>
      </w:r>
      <w:r w:rsidR="00713D6D" w:rsidRPr="008F486E">
        <w:rPr>
          <w:rFonts w:ascii="Arial" w:hAnsi="Arial" w:cs="Arial"/>
          <w:sz w:val="24"/>
          <w:szCs w:val="24"/>
        </w:rPr>
        <w:t xml:space="preserve">edentes a la Carta, destacamos </w:t>
      </w:r>
      <w:r w:rsidRPr="008F486E">
        <w:rPr>
          <w:rFonts w:ascii="Arial" w:hAnsi="Arial" w:cs="Arial"/>
          <w:i/>
          <w:sz w:val="24"/>
          <w:szCs w:val="24"/>
        </w:rPr>
        <w:t>La Carta Mundial de la Naturaleza</w:t>
      </w:r>
      <w:r w:rsidR="005F54DD" w:rsidRPr="008F486E">
        <w:rPr>
          <w:rStyle w:val="Refdenotaalpie"/>
          <w:rFonts w:ascii="Arial" w:hAnsi="Arial" w:cs="Arial"/>
          <w:b/>
          <w:i/>
          <w:sz w:val="24"/>
          <w:szCs w:val="24"/>
        </w:rPr>
        <w:footnoteReference w:id="5"/>
      </w:r>
      <w:r w:rsidR="00713D6D" w:rsidRPr="008F486E">
        <w:rPr>
          <w:rFonts w:ascii="Arial" w:hAnsi="Arial" w:cs="Arial"/>
          <w:sz w:val="24"/>
          <w:szCs w:val="24"/>
        </w:rPr>
        <w:t xml:space="preserve"> </w:t>
      </w:r>
      <w:r w:rsidRPr="008F486E">
        <w:rPr>
          <w:rFonts w:ascii="Arial" w:hAnsi="Arial" w:cs="Arial"/>
          <w:sz w:val="24"/>
          <w:szCs w:val="24"/>
        </w:rPr>
        <w:t xml:space="preserve">aprobada por la Asamblea General de las Naciones Unidas en 1982 y el </w:t>
      </w:r>
      <w:r w:rsidRPr="008F486E">
        <w:rPr>
          <w:rFonts w:ascii="Arial" w:hAnsi="Arial" w:cs="Arial"/>
          <w:i/>
          <w:sz w:val="24"/>
          <w:szCs w:val="24"/>
        </w:rPr>
        <w:t xml:space="preserve">Informe </w:t>
      </w:r>
      <w:proofErr w:type="spellStart"/>
      <w:r w:rsidRPr="008F486E">
        <w:rPr>
          <w:rFonts w:ascii="Arial" w:hAnsi="Arial" w:cs="Arial"/>
          <w:i/>
          <w:sz w:val="24"/>
          <w:szCs w:val="24"/>
        </w:rPr>
        <w:t>Brundtland</w:t>
      </w:r>
      <w:proofErr w:type="spellEnd"/>
      <w:r w:rsidRPr="008F486E">
        <w:rPr>
          <w:rFonts w:ascii="Arial" w:hAnsi="Arial" w:cs="Arial"/>
          <w:i/>
          <w:sz w:val="24"/>
          <w:szCs w:val="24"/>
        </w:rPr>
        <w:t xml:space="preserve"> </w:t>
      </w:r>
      <w:r w:rsidR="00CF1074" w:rsidRPr="008F486E">
        <w:rPr>
          <w:rFonts w:ascii="Arial" w:hAnsi="Arial" w:cs="Arial"/>
          <w:sz w:val="24"/>
          <w:szCs w:val="24"/>
        </w:rPr>
        <w:t xml:space="preserve">de 1987 “Nuestro futuro común” </w:t>
      </w:r>
      <w:r w:rsidR="00713D6D" w:rsidRPr="008F486E">
        <w:rPr>
          <w:rFonts w:ascii="Arial" w:hAnsi="Arial" w:cs="Arial"/>
          <w:sz w:val="24"/>
          <w:szCs w:val="24"/>
        </w:rPr>
        <w:t>de la Comisión Mundial de M</w:t>
      </w:r>
      <w:r w:rsidRPr="008F486E">
        <w:rPr>
          <w:rFonts w:ascii="Arial" w:hAnsi="Arial" w:cs="Arial"/>
          <w:sz w:val="24"/>
          <w:szCs w:val="24"/>
        </w:rPr>
        <w:t>edio Ambiente y Desarrollo de las Naciones Unidas</w:t>
      </w:r>
      <w:r w:rsidR="00CF1074" w:rsidRPr="008F486E">
        <w:rPr>
          <w:rFonts w:ascii="Arial" w:hAnsi="Arial" w:cs="Arial"/>
          <w:sz w:val="24"/>
          <w:szCs w:val="24"/>
        </w:rPr>
        <w:t xml:space="preserve"> (o Comisión </w:t>
      </w:r>
      <w:proofErr w:type="spellStart"/>
      <w:r w:rsidR="00CF1074" w:rsidRPr="008F486E">
        <w:rPr>
          <w:rFonts w:ascii="Arial" w:hAnsi="Arial" w:cs="Arial"/>
          <w:sz w:val="24"/>
          <w:szCs w:val="24"/>
        </w:rPr>
        <w:t>Brundtland</w:t>
      </w:r>
      <w:proofErr w:type="spellEnd"/>
      <w:r w:rsidR="00CF1074" w:rsidRPr="008F486E">
        <w:rPr>
          <w:rFonts w:ascii="Arial" w:hAnsi="Arial" w:cs="Arial"/>
          <w:sz w:val="24"/>
          <w:szCs w:val="24"/>
        </w:rPr>
        <w:t xml:space="preserve">), </w:t>
      </w:r>
      <w:r w:rsidR="002E34BE" w:rsidRPr="008F486E">
        <w:rPr>
          <w:rFonts w:ascii="Arial" w:hAnsi="Arial" w:cs="Arial"/>
          <w:sz w:val="24"/>
          <w:szCs w:val="24"/>
        </w:rPr>
        <w:t xml:space="preserve">que </w:t>
      </w:r>
      <w:r w:rsidR="00CF1074" w:rsidRPr="008F486E">
        <w:rPr>
          <w:rFonts w:ascii="Arial" w:hAnsi="Arial" w:cs="Arial"/>
          <w:sz w:val="24"/>
          <w:szCs w:val="24"/>
        </w:rPr>
        <w:t>hace un llamamiento a la creación de una Carta que contenga los principios fundamentales para una vida sostenible. De 1990 a 1992 se reda</w:t>
      </w:r>
      <w:r w:rsidR="00713D6D" w:rsidRPr="008F486E">
        <w:rPr>
          <w:rFonts w:ascii="Arial" w:hAnsi="Arial" w:cs="Arial"/>
          <w:sz w:val="24"/>
          <w:szCs w:val="24"/>
        </w:rPr>
        <w:t>ctan diversos borradores de la C</w:t>
      </w:r>
      <w:r w:rsidR="00CF1074" w:rsidRPr="008F486E">
        <w:rPr>
          <w:rFonts w:ascii="Arial" w:hAnsi="Arial" w:cs="Arial"/>
          <w:sz w:val="24"/>
          <w:szCs w:val="24"/>
        </w:rPr>
        <w:t xml:space="preserve">arta y </w:t>
      </w:r>
      <w:r w:rsidR="00713D6D" w:rsidRPr="008F486E">
        <w:rPr>
          <w:rFonts w:ascii="Arial" w:hAnsi="Arial" w:cs="Arial"/>
          <w:sz w:val="24"/>
          <w:szCs w:val="24"/>
        </w:rPr>
        <w:t>de 1995 a 1999, a través de la S</w:t>
      </w:r>
      <w:r w:rsidR="00CF1074" w:rsidRPr="008F486E">
        <w:rPr>
          <w:rFonts w:ascii="Arial" w:hAnsi="Arial" w:cs="Arial"/>
          <w:sz w:val="24"/>
          <w:szCs w:val="24"/>
        </w:rPr>
        <w:t>ecretaría de apoyo ubicada en San José de Costa Rica, se impulsan consultas y debates en los que par</w:t>
      </w:r>
      <w:r w:rsidR="00713D6D" w:rsidRPr="008F486E">
        <w:rPr>
          <w:rFonts w:ascii="Arial" w:hAnsi="Arial" w:cs="Arial"/>
          <w:sz w:val="24"/>
          <w:szCs w:val="24"/>
        </w:rPr>
        <w:t xml:space="preserve">ticipan numerosos países, organizaciones no gubernamentales, asociaciones </w:t>
      </w:r>
      <w:r w:rsidR="00CF1074" w:rsidRPr="008F486E">
        <w:rPr>
          <w:rFonts w:ascii="Arial" w:hAnsi="Arial" w:cs="Arial"/>
          <w:sz w:val="24"/>
          <w:szCs w:val="24"/>
        </w:rPr>
        <w:t>y expertos internacionales.</w:t>
      </w:r>
    </w:p>
    <w:p w:rsidR="00C21927" w:rsidRPr="008F486E" w:rsidRDefault="00C21927" w:rsidP="008F486E">
      <w:pPr>
        <w:spacing w:line="360" w:lineRule="auto"/>
        <w:ind w:left="360"/>
        <w:jc w:val="both"/>
        <w:rPr>
          <w:rFonts w:ascii="Arial" w:hAnsi="Arial" w:cs="Arial"/>
          <w:sz w:val="24"/>
          <w:szCs w:val="24"/>
        </w:rPr>
      </w:pPr>
    </w:p>
    <w:p w:rsidR="00323050" w:rsidRPr="008F486E" w:rsidRDefault="00302AEB" w:rsidP="008F486E">
      <w:pPr>
        <w:pStyle w:val="Prrafodelista"/>
        <w:numPr>
          <w:ilvl w:val="2"/>
          <w:numId w:val="4"/>
        </w:numPr>
        <w:spacing w:line="360" w:lineRule="auto"/>
        <w:jc w:val="both"/>
        <w:rPr>
          <w:rFonts w:ascii="Arial" w:hAnsi="Arial" w:cs="Arial"/>
          <w:b/>
          <w:i/>
          <w:sz w:val="24"/>
          <w:szCs w:val="24"/>
        </w:rPr>
      </w:pPr>
      <w:r w:rsidRPr="008F486E">
        <w:rPr>
          <w:rFonts w:ascii="Arial" w:hAnsi="Arial" w:cs="Arial"/>
          <w:b/>
          <w:i/>
          <w:sz w:val="24"/>
          <w:szCs w:val="24"/>
        </w:rPr>
        <w:t xml:space="preserve"> </w:t>
      </w:r>
      <w:r w:rsidR="0005437B" w:rsidRPr="008F486E">
        <w:rPr>
          <w:rFonts w:ascii="Arial" w:hAnsi="Arial" w:cs="Arial"/>
          <w:b/>
          <w:i/>
          <w:sz w:val="24"/>
          <w:szCs w:val="24"/>
        </w:rPr>
        <w:t xml:space="preserve">      </w:t>
      </w:r>
      <w:r w:rsidRPr="008F486E">
        <w:rPr>
          <w:rFonts w:ascii="Arial" w:hAnsi="Arial" w:cs="Arial"/>
          <w:b/>
          <w:i/>
          <w:sz w:val="24"/>
          <w:szCs w:val="24"/>
        </w:rPr>
        <w:t>ECOSOC</w:t>
      </w:r>
    </w:p>
    <w:p w:rsidR="00BC0DB5" w:rsidRPr="008F486E" w:rsidRDefault="00391FB4" w:rsidP="008F486E">
      <w:pPr>
        <w:spacing w:line="360" w:lineRule="auto"/>
        <w:ind w:firstLine="708"/>
        <w:jc w:val="both"/>
        <w:rPr>
          <w:rFonts w:ascii="Arial" w:hAnsi="Arial" w:cs="Arial"/>
          <w:b/>
          <w:i/>
          <w:sz w:val="24"/>
          <w:szCs w:val="24"/>
        </w:rPr>
      </w:pPr>
      <w:r w:rsidRPr="008F486E">
        <w:rPr>
          <w:rFonts w:ascii="Arial" w:hAnsi="Arial" w:cs="Arial"/>
          <w:sz w:val="24"/>
          <w:szCs w:val="24"/>
        </w:rPr>
        <w:t xml:space="preserve">El </w:t>
      </w:r>
      <w:r w:rsidR="00302AEB" w:rsidRPr="008F486E">
        <w:rPr>
          <w:rFonts w:ascii="Arial" w:hAnsi="Arial" w:cs="Arial"/>
          <w:sz w:val="24"/>
          <w:szCs w:val="24"/>
        </w:rPr>
        <w:t>ECOSOC</w:t>
      </w:r>
      <w:r w:rsidR="00937E0E" w:rsidRPr="008F486E">
        <w:rPr>
          <w:rFonts w:ascii="Arial" w:hAnsi="Arial" w:cs="Arial"/>
          <w:sz w:val="24"/>
          <w:szCs w:val="24"/>
        </w:rPr>
        <w:t xml:space="preserve"> (</w:t>
      </w:r>
      <w:proofErr w:type="spellStart"/>
      <w:r w:rsidR="00937E0E" w:rsidRPr="008F486E">
        <w:rPr>
          <w:rFonts w:ascii="Arial" w:hAnsi="Arial" w:cs="Arial"/>
          <w:i/>
          <w:sz w:val="24"/>
          <w:szCs w:val="24"/>
        </w:rPr>
        <w:t>Economic</w:t>
      </w:r>
      <w:proofErr w:type="spellEnd"/>
      <w:r w:rsidR="00937E0E" w:rsidRPr="008F486E">
        <w:rPr>
          <w:rFonts w:ascii="Arial" w:hAnsi="Arial" w:cs="Arial"/>
          <w:i/>
          <w:sz w:val="24"/>
          <w:szCs w:val="24"/>
        </w:rPr>
        <w:t xml:space="preserve"> and Social Council</w:t>
      </w:r>
      <w:r w:rsidR="00937E0E" w:rsidRPr="008F486E">
        <w:rPr>
          <w:rFonts w:ascii="Arial" w:hAnsi="Arial" w:cs="Arial"/>
          <w:sz w:val="24"/>
          <w:szCs w:val="24"/>
        </w:rPr>
        <w:t>)</w:t>
      </w:r>
      <w:r w:rsidR="00302AEB" w:rsidRPr="008F486E">
        <w:rPr>
          <w:rFonts w:ascii="Arial" w:hAnsi="Arial" w:cs="Arial"/>
          <w:sz w:val="24"/>
          <w:szCs w:val="24"/>
        </w:rPr>
        <w:t xml:space="preserve"> o Consejo Económico y Social de las Naciones Unidas, estableció el </w:t>
      </w:r>
      <w:r w:rsidR="00302AEB" w:rsidRPr="008F486E">
        <w:rPr>
          <w:rFonts w:ascii="Arial" w:hAnsi="Arial" w:cs="Arial"/>
          <w:i/>
          <w:sz w:val="24"/>
          <w:szCs w:val="24"/>
        </w:rPr>
        <w:t>Comité de Expertos</w:t>
      </w:r>
      <w:r w:rsidR="00BC0DB5" w:rsidRPr="008F486E">
        <w:rPr>
          <w:rFonts w:ascii="Arial" w:hAnsi="Arial" w:cs="Arial"/>
          <w:i/>
          <w:sz w:val="24"/>
          <w:szCs w:val="24"/>
        </w:rPr>
        <w:t xml:space="preserve"> sobre la Gestión Global de la Información Geoespacial</w:t>
      </w:r>
      <w:r w:rsidR="00BC0DB5" w:rsidRPr="008F486E">
        <w:rPr>
          <w:rFonts w:ascii="Arial" w:hAnsi="Arial" w:cs="Arial"/>
          <w:sz w:val="24"/>
          <w:szCs w:val="24"/>
        </w:rPr>
        <w:t xml:space="preserve"> (</w:t>
      </w:r>
      <w:r w:rsidR="00BC0DB5" w:rsidRPr="008F486E">
        <w:rPr>
          <w:rFonts w:ascii="Arial" w:hAnsi="Arial" w:cs="Arial"/>
          <w:i/>
          <w:sz w:val="24"/>
          <w:szCs w:val="24"/>
        </w:rPr>
        <w:t>UN-GGIM</w:t>
      </w:r>
      <w:r w:rsidR="00B579A6" w:rsidRPr="008F486E">
        <w:rPr>
          <w:rFonts w:ascii="Arial" w:hAnsi="Arial" w:cs="Arial"/>
          <w:sz w:val="24"/>
          <w:szCs w:val="24"/>
        </w:rPr>
        <w:t>-</w:t>
      </w:r>
      <w:r w:rsidR="007F3549" w:rsidRPr="008F486E">
        <w:rPr>
          <w:rFonts w:ascii="Arial" w:hAnsi="Arial" w:cs="Arial"/>
          <w:sz w:val="24"/>
          <w:szCs w:val="24"/>
        </w:rPr>
        <w:t xml:space="preserve"> </w:t>
      </w:r>
      <w:proofErr w:type="spellStart"/>
      <w:r w:rsidR="007F3549" w:rsidRPr="008F486E">
        <w:rPr>
          <w:rFonts w:ascii="Arial" w:hAnsi="Arial" w:cs="Arial"/>
          <w:i/>
          <w:sz w:val="24"/>
          <w:szCs w:val="24"/>
        </w:rPr>
        <w:t>United</w:t>
      </w:r>
      <w:proofErr w:type="spellEnd"/>
      <w:r w:rsidR="007F3549" w:rsidRPr="008F486E">
        <w:rPr>
          <w:rFonts w:ascii="Arial" w:hAnsi="Arial" w:cs="Arial"/>
          <w:i/>
          <w:sz w:val="24"/>
          <w:szCs w:val="24"/>
        </w:rPr>
        <w:t xml:space="preserve"> </w:t>
      </w:r>
      <w:proofErr w:type="spellStart"/>
      <w:r w:rsidR="007F3549" w:rsidRPr="008F486E">
        <w:rPr>
          <w:rFonts w:ascii="Arial" w:hAnsi="Arial" w:cs="Arial"/>
          <w:i/>
          <w:sz w:val="24"/>
          <w:szCs w:val="24"/>
        </w:rPr>
        <w:t>Nations</w:t>
      </w:r>
      <w:proofErr w:type="spellEnd"/>
      <w:r w:rsidR="007F3549" w:rsidRPr="008F486E">
        <w:rPr>
          <w:rFonts w:ascii="Arial" w:hAnsi="Arial" w:cs="Arial"/>
          <w:i/>
          <w:sz w:val="24"/>
          <w:szCs w:val="24"/>
        </w:rPr>
        <w:t xml:space="preserve"> </w:t>
      </w:r>
      <w:proofErr w:type="spellStart"/>
      <w:r w:rsidR="007F3549" w:rsidRPr="008F486E">
        <w:rPr>
          <w:rFonts w:ascii="Arial" w:hAnsi="Arial" w:cs="Arial"/>
          <w:i/>
          <w:sz w:val="24"/>
          <w:szCs w:val="24"/>
        </w:rPr>
        <w:lastRenderedPageBreak/>
        <w:t>Committee</w:t>
      </w:r>
      <w:proofErr w:type="spellEnd"/>
      <w:r w:rsidR="007F3549" w:rsidRPr="008F486E">
        <w:rPr>
          <w:rFonts w:ascii="Arial" w:hAnsi="Arial" w:cs="Arial"/>
          <w:i/>
          <w:sz w:val="24"/>
          <w:szCs w:val="24"/>
        </w:rPr>
        <w:t xml:space="preserve"> of </w:t>
      </w:r>
      <w:proofErr w:type="spellStart"/>
      <w:r w:rsidR="007F3549" w:rsidRPr="008F486E">
        <w:rPr>
          <w:rFonts w:ascii="Arial" w:hAnsi="Arial" w:cs="Arial"/>
          <w:i/>
          <w:sz w:val="24"/>
          <w:szCs w:val="24"/>
        </w:rPr>
        <w:t>Experts</w:t>
      </w:r>
      <w:proofErr w:type="spellEnd"/>
      <w:r w:rsidR="007F3549" w:rsidRPr="008F486E">
        <w:rPr>
          <w:rFonts w:ascii="Arial" w:hAnsi="Arial" w:cs="Arial"/>
          <w:sz w:val="24"/>
          <w:szCs w:val="24"/>
        </w:rPr>
        <w:t xml:space="preserve"> </w:t>
      </w:r>
      <w:proofErr w:type="spellStart"/>
      <w:r w:rsidR="007F3549" w:rsidRPr="008F486E">
        <w:rPr>
          <w:rFonts w:ascii="Arial" w:hAnsi="Arial" w:cs="Arial"/>
          <w:sz w:val="24"/>
          <w:szCs w:val="24"/>
        </w:rPr>
        <w:t>on</w:t>
      </w:r>
      <w:proofErr w:type="spellEnd"/>
      <w:r w:rsidR="007F3549" w:rsidRPr="008F486E">
        <w:rPr>
          <w:rFonts w:ascii="Arial" w:hAnsi="Arial" w:cs="Arial"/>
          <w:sz w:val="24"/>
          <w:szCs w:val="24"/>
        </w:rPr>
        <w:t xml:space="preserve"> </w:t>
      </w:r>
      <w:r w:rsidR="00B579A6" w:rsidRPr="008F486E">
        <w:rPr>
          <w:rFonts w:ascii="Arial" w:hAnsi="Arial" w:cs="Arial"/>
          <w:i/>
          <w:sz w:val="24"/>
          <w:szCs w:val="24"/>
        </w:rPr>
        <w:t>Gl</w:t>
      </w:r>
      <w:r w:rsidR="007F3549" w:rsidRPr="008F486E">
        <w:rPr>
          <w:rFonts w:ascii="Arial" w:hAnsi="Arial" w:cs="Arial"/>
          <w:i/>
          <w:sz w:val="24"/>
          <w:szCs w:val="24"/>
        </w:rPr>
        <w:t xml:space="preserve">obal </w:t>
      </w:r>
      <w:proofErr w:type="spellStart"/>
      <w:r w:rsidR="007F3549" w:rsidRPr="008F486E">
        <w:rPr>
          <w:rFonts w:ascii="Arial" w:hAnsi="Arial" w:cs="Arial"/>
          <w:i/>
          <w:sz w:val="24"/>
          <w:szCs w:val="24"/>
        </w:rPr>
        <w:t>Geoespatial</w:t>
      </w:r>
      <w:proofErr w:type="spellEnd"/>
      <w:r w:rsidR="007F3549" w:rsidRPr="008F486E">
        <w:rPr>
          <w:rFonts w:ascii="Arial" w:hAnsi="Arial" w:cs="Arial"/>
          <w:i/>
          <w:sz w:val="24"/>
          <w:szCs w:val="24"/>
        </w:rPr>
        <w:t xml:space="preserve"> </w:t>
      </w:r>
      <w:proofErr w:type="spellStart"/>
      <w:r w:rsidR="007F3549" w:rsidRPr="008F486E">
        <w:rPr>
          <w:rFonts w:ascii="Arial" w:hAnsi="Arial" w:cs="Arial"/>
          <w:i/>
          <w:sz w:val="24"/>
          <w:szCs w:val="24"/>
        </w:rPr>
        <w:t>Information</w:t>
      </w:r>
      <w:proofErr w:type="spellEnd"/>
      <w:r w:rsidR="007F3549" w:rsidRPr="008F486E">
        <w:rPr>
          <w:rFonts w:ascii="Arial" w:hAnsi="Arial" w:cs="Arial"/>
          <w:i/>
          <w:sz w:val="24"/>
          <w:szCs w:val="24"/>
        </w:rPr>
        <w:t xml:space="preserve"> M</w:t>
      </w:r>
      <w:r w:rsidR="00B579A6" w:rsidRPr="008F486E">
        <w:rPr>
          <w:rFonts w:ascii="Arial" w:hAnsi="Arial" w:cs="Arial"/>
          <w:i/>
          <w:sz w:val="24"/>
          <w:szCs w:val="24"/>
        </w:rPr>
        <w:t>anagement</w:t>
      </w:r>
      <w:r w:rsidR="00BC0DB5" w:rsidRPr="008F486E">
        <w:rPr>
          <w:rFonts w:ascii="Arial" w:hAnsi="Arial" w:cs="Arial"/>
          <w:sz w:val="24"/>
          <w:szCs w:val="24"/>
        </w:rPr>
        <w:t>), en julio de 2011, mediante resolución 2011/24</w:t>
      </w:r>
      <w:r w:rsidR="00112328" w:rsidRPr="008F486E">
        <w:rPr>
          <w:rStyle w:val="Refdenotaalpie"/>
          <w:rFonts w:ascii="Arial" w:hAnsi="Arial" w:cs="Arial"/>
          <w:sz w:val="24"/>
          <w:szCs w:val="24"/>
        </w:rPr>
        <w:footnoteReference w:id="6"/>
      </w:r>
      <w:r w:rsidR="00BC0DB5" w:rsidRPr="008F486E">
        <w:rPr>
          <w:rFonts w:ascii="Arial" w:hAnsi="Arial" w:cs="Arial"/>
          <w:sz w:val="24"/>
          <w:szCs w:val="24"/>
        </w:rPr>
        <w:t>.</w:t>
      </w:r>
      <w:r w:rsidR="00323050" w:rsidRPr="008F486E">
        <w:rPr>
          <w:rFonts w:ascii="Arial" w:hAnsi="Arial" w:cs="Arial"/>
          <w:sz w:val="24"/>
          <w:szCs w:val="24"/>
        </w:rPr>
        <w:t xml:space="preserve"> </w:t>
      </w:r>
      <w:r w:rsidR="00BC0DB5" w:rsidRPr="008F486E">
        <w:rPr>
          <w:rFonts w:ascii="Arial" w:hAnsi="Arial" w:cs="Arial"/>
          <w:sz w:val="24"/>
          <w:szCs w:val="24"/>
        </w:rPr>
        <w:t>Los principales obj</w:t>
      </w:r>
      <w:r w:rsidR="007F3549" w:rsidRPr="008F486E">
        <w:rPr>
          <w:rFonts w:ascii="Arial" w:hAnsi="Arial" w:cs="Arial"/>
          <w:sz w:val="24"/>
          <w:szCs w:val="24"/>
        </w:rPr>
        <w:t>etivos del Comité de Expertos son</w:t>
      </w:r>
      <w:r w:rsidR="00BC0DB5" w:rsidRPr="008F486E">
        <w:rPr>
          <w:rFonts w:ascii="Arial" w:hAnsi="Arial" w:cs="Arial"/>
          <w:sz w:val="24"/>
          <w:szCs w:val="24"/>
        </w:rPr>
        <w:t xml:space="preserve"> proporcionar un foro de cooperaci</w:t>
      </w:r>
      <w:r w:rsidR="005A498A" w:rsidRPr="008F486E">
        <w:rPr>
          <w:rFonts w:ascii="Arial" w:hAnsi="Arial" w:cs="Arial"/>
          <w:sz w:val="24"/>
          <w:szCs w:val="24"/>
        </w:rPr>
        <w:t>ón y diálogo entre los Estados m</w:t>
      </w:r>
      <w:r w:rsidR="00BC0DB5" w:rsidRPr="008F486E">
        <w:rPr>
          <w:rFonts w:ascii="Arial" w:hAnsi="Arial" w:cs="Arial"/>
          <w:sz w:val="24"/>
          <w:szCs w:val="24"/>
        </w:rPr>
        <w:t>iembros, y entre Estados y organizaciones internacionales, así como proponer planes de trabajo y directrices para promover principios comunes, políticas, métodos, mecanismos y estándares para la inter-operatividad e intercambio de datos y servicios geoespaciales en áreas como la vigilancia, geografía, cartografía, mapas, sensor remoto, sistemas de información sobre los océanos, geografía y protección medioambiental</w:t>
      </w:r>
      <w:r w:rsidR="00D95534" w:rsidRPr="008F486E">
        <w:rPr>
          <w:rStyle w:val="Refdenotaalpie"/>
          <w:rFonts w:ascii="Arial" w:hAnsi="Arial" w:cs="Arial"/>
          <w:sz w:val="24"/>
          <w:szCs w:val="24"/>
        </w:rPr>
        <w:footnoteReference w:id="7"/>
      </w:r>
      <w:r w:rsidR="00BC0DB5" w:rsidRPr="008F486E">
        <w:rPr>
          <w:rFonts w:ascii="Arial" w:hAnsi="Arial" w:cs="Arial"/>
          <w:sz w:val="24"/>
          <w:szCs w:val="24"/>
        </w:rPr>
        <w:t>.</w:t>
      </w:r>
    </w:p>
    <w:p w:rsidR="00FE4CCF" w:rsidRPr="008F486E" w:rsidRDefault="00BC0DB5" w:rsidP="008F486E">
      <w:pPr>
        <w:spacing w:line="360" w:lineRule="auto"/>
        <w:ind w:firstLine="708"/>
        <w:jc w:val="both"/>
        <w:rPr>
          <w:rFonts w:ascii="Arial" w:hAnsi="Arial" w:cs="Arial"/>
          <w:sz w:val="24"/>
          <w:szCs w:val="24"/>
        </w:rPr>
      </w:pPr>
      <w:r w:rsidRPr="008F486E">
        <w:rPr>
          <w:rFonts w:ascii="Arial" w:hAnsi="Arial" w:cs="Arial"/>
          <w:sz w:val="24"/>
          <w:szCs w:val="24"/>
        </w:rPr>
        <w:t>A su vez, el Comité de Exper</w:t>
      </w:r>
      <w:r w:rsidR="00B579A6" w:rsidRPr="008F486E">
        <w:rPr>
          <w:rFonts w:ascii="Arial" w:hAnsi="Arial" w:cs="Arial"/>
          <w:sz w:val="24"/>
          <w:szCs w:val="24"/>
        </w:rPr>
        <w:t>t</w:t>
      </w:r>
      <w:r w:rsidRPr="008F486E">
        <w:rPr>
          <w:rFonts w:ascii="Arial" w:hAnsi="Arial" w:cs="Arial"/>
          <w:sz w:val="24"/>
          <w:szCs w:val="24"/>
        </w:rPr>
        <w:t>os (</w:t>
      </w:r>
      <w:r w:rsidRPr="008F486E">
        <w:rPr>
          <w:rFonts w:ascii="Arial" w:hAnsi="Arial" w:cs="Arial"/>
          <w:i/>
          <w:sz w:val="24"/>
          <w:szCs w:val="24"/>
        </w:rPr>
        <w:t>UN-GGIM</w:t>
      </w:r>
      <w:r w:rsidRPr="008F486E">
        <w:rPr>
          <w:rFonts w:ascii="Arial" w:hAnsi="Arial" w:cs="Arial"/>
          <w:sz w:val="24"/>
          <w:szCs w:val="24"/>
        </w:rPr>
        <w:t>) cuent</w:t>
      </w:r>
      <w:r w:rsidR="00AA46C7" w:rsidRPr="008F486E">
        <w:rPr>
          <w:rFonts w:ascii="Arial" w:hAnsi="Arial" w:cs="Arial"/>
          <w:sz w:val="24"/>
          <w:szCs w:val="24"/>
        </w:rPr>
        <w:t>a con varios Comités Regionales</w:t>
      </w:r>
      <w:r w:rsidRPr="008F486E">
        <w:rPr>
          <w:rFonts w:ascii="Arial" w:hAnsi="Arial" w:cs="Arial"/>
          <w:sz w:val="24"/>
          <w:szCs w:val="24"/>
        </w:rPr>
        <w:t>: Asia/Pacífico, Américas, E</w:t>
      </w:r>
      <w:r w:rsidR="00323050" w:rsidRPr="008F486E">
        <w:rPr>
          <w:rFonts w:ascii="Arial" w:hAnsi="Arial" w:cs="Arial"/>
          <w:sz w:val="24"/>
          <w:szCs w:val="24"/>
        </w:rPr>
        <w:t xml:space="preserve">stados Árabes, Europa y África. </w:t>
      </w:r>
      <w:r w:rsidR="00BF373D" w:rsidRPr="008F486E">
        <w:rPr>
          <w:rFonts w:ascii="Arial" w:hAnsi="Arial" w:cs="Arial"/>
          <w:sz w:val="24"/>
          <w:szCs w:val="24"/>
        </w:rPr>
        <w:t>Por ejemplo, e</w:t>
      </w:r>
      <w:r w:rsidRPr="008F486E">
        <w:rPr>
          <w:rFonts w:ascii="Arial" w:hAnsi="Arial" w:cs="Arial"/>
          <w:sz w:val="24"/>
          <w:szCs w:val="24"/>
        </w:rPr>
        <w:t xml:space="preserve">l </w:t>
      </w:r>
      <w:r w:rsidRPr="008F486E">
        <w:rPr>
          <w:rFonts w:ascii="Arial" w:hAnsi="Arial" w:cs="Arial"/>
          <w:i/>
          <w:sz w:val="24"/>
          <w:szCs w:val="24"/>
        </w:rPr>
        <w:t>UN-GGIM-Américas</w:t>
      </w:r>
      <w:r w:rsidRPr="008F486E">
        <w:rPr>
          <w:rFonts w:ascii="Arial" w:hAnsi="Arial" w:cs="Arial"/>
          <w:sz w:val="24"/>
          <w:szCs w:val="24"/>
        </w:rPr>
        <w:t xml:space="preserve"> cuenta con una</w:t>
      </w:r>
      <w:r w:rsidR="009E114D" w:rsidRPr="008F486E">
        <w:rPr>
          <w:rFonts w:ascii="Arial" w:hAnsi="Arial" w:cs="Arial"/>
          <w:sz w:val="24"/>
          <w:szCs w:val="24"/>
        </w:rPr>
        <w:t>s</w:t>
      </w:r>
      <w:r w:rsidRPr="008F486E">
        <w:rPr>
          <w:rFonts w:ascii="Arial" w:hAnsi="Arial" w:cs="Arial"/>
          <w:sz w:val="24"/>
          <w:szCs w:val="24"/>
        </w:rPr>
        <w:t xml:space="preserve"> metas que están basadas en los principios de la Agenda 21 de la Conferencia de las Naciones Unidas sobre Medioambiente y Desarrollo, con la finalidad de maximizar los beneficios económico</w:t>
      </w:r>
      <w:r w:rsidR="0067107D" w:rsidRPr="008F486E">
        <w:rPr>
          <w:rFonts w:ascii="Arial" w:hAnsi="Arial" w:cs="Arial"/>
          <w:sz w:val="24"/>
          <w:szCs w:val="24"/>
        </w:rPr>
        <w:t>s</w:t>
      </w:r>
      <w:r w:rsidRPr="008F486E">
        <w:rPr>
          <w:rFonts w:ascii="Arial" w:hAnsi="Arial" w:cs="Arial"/>
          <w:sz w:val="24"/>
          <w:szCs w:val="24"/>
        </w:rPr>
        <w:t>, sociales y ambientales derivados del uso de la información geoespacial, a partir del conocimiento e intercambio de las experiencias y tecnologías de diferentes países, basadas</w:t>
      </w:r>
      <w:r w:rsidR="00112328" w:rsidRPr="008F486E">
        <w:rPr>
          <w:rFonts w:ascii="Arial" w:hAnsi="Arial" w:cs="Arial"/>
          <w:sz w:val="24"/>
          <w:szCs w:val="24"/>
        </w:rPr>
        <w:t xml:space="preserve"> en un modelo común de desarrollo que permita el establecimiento de una Infraestructura de Datos Geoespaciales (</w:t>
      </w:r>
      <w:r w:rsidR="00112328" w:rsidRPr="008F486E">
        <w:rPr>
          <w:rFonts w:ascii="Arial" w:hAnsi="Arial" w:cs="Arial"/>
          <w:i/>
          <w:sz w:val="24"/>
          <w:szCs w:val="24"/>
        </w:rPr>
        <w:t>IDG</w:t>
      </w:r>
      <w:r w:rsidR="00112328" w:rsidRPr="008F486E">
        <w:rPr>
          <w:rFonts w:ascii="Arial" w:hAnsi="Arial" w:cs="Arial"/>
          <w:sz w:val="24"/>
          <w:szCs w:val="24"/>
        </w:rPr>
        <w:t>) para las Américas</w:t>
      </w:r>
      <w:r w:rsidR="00112328" w:rsidRPr="008F486E">
        <w:rPr>
          <w:rStyle w:val="Refdenotaalpie"/>
          <w:rFonts w:ascii="Arial" w:hAnsi="Arial" w:cs="Arial"/>
          <w:sz w:val="24"/>
          <w:szCs w:val="24"/>
        </w:rPr>
        <w:footnoteReference w:id="8"/>
      </w:r>
      <w:r w:rsidR="00112328" w:rsidRPr="008F486E">
        <w:rPr>
          <w:rFonts w:ascii="Arial" w:hAnsi="Arial" w:cs="Arial"/>
          <w:sz w:val="24"/>
          <w:szCs w:val="24"/>
        </w:rPr>
        <w:t>.</w:t>
      </w:r>
    </w:p>
    <w:p w:rsidR="005A498A" w:rsidRPr="008F486E" w:rsidRDefault="005A498A" w:rsidP="008F486E">
      <w:pPr>
        <w:spacing w:line="360" w:lineRule="auto"/>
        <w:ind w:firstLine="708"/>
        <w:jc w:val="both"/>
        <w:rPr>
          <w:rFonts w:ascii="Arial" w:hAnsi="Arial" w:cs="Arial"/>
          <w:sz w:val="24"/>
          <w:szCs w:val="24"/>
        </w:rPr>
      </w:pPr>
      <w:r w:rsidRPr="008F486E">
        <w:rPr>
          <w:rFonts w:ascii="Arial" w:hAnsi="Arial" w:cs="Arial"/>
          <w:sz w:val="24"/>
          <w:szCs w:val="24"/>
        </w:rPr>
        <w:t>En la</w:t>
      </w:r>
      <w:r w:rsidRPr="008F486E">
        <w:rPr>
          <w:rFonts w:ascii="Arial" w:hAnsi="Arial" w:cs="Arial"/>
          <w:i/>
          <w:sz w:val="24"/>
          <w:szCs w:val="24"/>
        </w:rPr>
        <w:t xml:space="preserve"> </w:t>
      </w:r>
      <w:r w:rsidR="0066635B" w:rsidRPr="008F486E">
        <w:rPr>
          <w:rFonts w:ascii="Arial" w:hAnsi="Arial" w:cs="Arial"/>
          <w:i/>
          <w:sz w:val="24"/>
          <w:szCs w:val="24"/>
        </w:rPr>
        <w:t>Declaración de Seúl, de</w:t>
      </w:r>
      <w:r w:rsidR="004D2D09" w:rsidRPr="008F486E">
        <w:rPr>
          <w:rFonts w:ascii="Arial" w:hAnsi="Arial" w:cs="Arial"/>
          <w:i/>
          <w:sz w:val="24"/>
          <w:szCs w:val="24"/>
        </w:rPr>
        <w:t xml:space="preserve"> 26 de octubre de</w:t>
      </w:r>
      <w:r w:rsidR="0066635B" w:rsidRPr="008F486E">
        <w:rPr>
          <w:rFonts w:ascii="Arial" w:hAnsi="Arial" w:cs="Arial"/>
          <w:i/>
          <w:sz w:val="24"/>
          <w:szCs w:val="24"/>
        </w:rPr>
        <w:t xml:space="preserve"> 2011</w:t>
      </w:r>
      <w:r w:rsidR="00BC486E" w:rsidRPr="008F486E">
        <w:rPr>
          <w:rFonts w:ascii="Arial" w:hAnsi="Arial" w:cs="Arial"/>
          <w:i/>
          <w:sz w:val="24"/>
          <w:szCs w:val="24"/>
        </w:rPr>
        <w:t>, sobre Gestión Global de la Información Geoespacial</w:t>
      </w:r>
      <w:r w:rsidRPr="008F486E">
        <w:rPr>
          <w:rFonts w:ascii="Arial" w:hAnsi="Arial" w:cs="Arial"/>
          <w:sz w:val="24"/>
          <w:szCs w:val="24"/>
        </w:rPr>
        <w:t>, l</w:t>
      </w:r>
      <w:r w:rsidR="00BC486E" w:rsidRPr="008F486E">
        <w:rPr>
          <w:rFonts w:ascii="Arial" w:hAnsi="Arial" w:cs="Arial"/>
          <w:sz w:val="24"/>
          <w:szCs w:val="24"/>
        </w:rPr>
        <w:t>os integrantes del Primer Foro de Alt</w:t>
      </w:r>
      <w:r w:rsidR="0005437B" w:rsidRPr="008F486E">
        <w:rPr>
          <w:rFonts w:ascii="Arial" w:hAnsi="Arial" w:cs="Arial"/>
          <w:sz w:val="24"/>
          <w:szCs w:val="24"/>
        </w:rPr>
        <w:t xml:space="preserve">o Nivel sobre la gestión de la </w:t>
      </w:r>
      <w:r w:rsidR="00BC486E" w:rsidRPr="008F486E">
        <w:rPr>
          <w:rFonts w:ascii="Arial" w:hAnsi="Arial" w:cs="Arial"/>
          <w:sz w:val="24"/>
          <w:szCs w:val="24"/>
        </w:rPr>
        <w:t>información geoes</w:t>
      </w:r>
      <w:r w:rsidR="004D2D09" w:rsidRPr="008F486E">
        <w:rPr>
          <w:rFonts w:ascii="Arial" w:hAnsi="Arial" w:cs="Arial"/>
          <w:sz w:val="24"/>
          <w:szCs w:val="24"/>
        </w:rPr>
        <w:t>pacial que tuvo lugar en Seúl (C</w:t>
      </w:r>
      <w:r w:rsidR="00BC486E" w:rsidRPr="008F486E">
        <w:rPr>
          <w:rFonts w:ascii="Arial" w:hAnsi="Arial" w:cs="Arial"/>
          <w:sz w:val="24"/>
          <w:szCs w:val="24"/>
        </w:rPr>
        <w:t>orea) del 24 al 26 de octubre de 2011 y de conformidad con l</w:t>
      </w:r>
      <w:r w:rsidR="0005437B" w:rsidRPr="008F486E">
        <w:rPr>
          <w:rFonts w:ascii="Arial" w:hAnsi="Arial" w:cs="Arial"/>
          <w:sz w:val="24"/>
          <w:szCs w:val="24"/>
        </w:rPr>
        <w:t>as iniciativas de las Naciones U</w:t>
      </w:r>
      <w:r w:rsidR="00BC486E" w:rsidRPr="008F486E">
        <w:rPr>
          <w:rFonts w:ascii="Arial" w:hAnsi="Arial" w:cs="Arial"/>
          <w:sz w:val="24"/>
          <w:szCs w:val="24"/>
        </w:rPr>
        <w:t>nidas para alcanzar una cooperación global respecto a la gestión de la información geoespacial</w:t>
      </w:r>
      <w:r w:rsidR="006F2B78" w:rsidRPr="008F486E">
        <w:rPr>
          <w:rFonts w:ascii="Arial" w:hAnsi="Arial" w:cs="Arial"/>
          <w:sz w:val="24"/>
          <w:szCs w:val="24"/>
        </w:rPr>
        <w:t>,</w:t>
      </w:r>
      <w:r w:rsidR="0005437B" w:rsidRPr="008F486E">
        <w:rPr>
          <w:rFonts w:ascii="Arial" w:hAnsi="Arial" w:cs="Arial"/>
          <w:sz w:val="24"/>
          <w:szCs w:val="24"/>
        </w:rPr>
        <w:t xml:space="preserve"> </w:t>
      </w:r>
      <w:r w:rsidR="00BE5502" w:rsidRPr="008F486E">
        <w:rPr>
          <w:rFonts w:ascii="Arial" w:hAnsi="Arial" w:cs="Arial"/>
          <w:sz w:val="24"/>
          <w:szCs w:val="24"/>
        </w:rPr>
        <w:t>resolvieron</w:t>
      </w:r>
      <w:r w:rsidRPr="008F486E">
        <w:rPr>
          <w:rFonts w:ascii="Arial" w:hAnsi="Arial" w:cs="Arial"/>
          <w:sz w:val="24"/>
          <w:szCs w:val="24"/>
        </w:rPr>
        <w:t xml:space="preserve"> : </w:t>
      </w:r>
      <w:r w:rsidR="00BE5502" w:rsidRPr="008F486E">
        <w:rPr>
          <w:rFonts w:ascii="Arial" w:hAnsi="Arial" w:cs="Arial"/>
          <w:sz w:val="24"/>
          <w:szCs w:val="24"/>
        </w:rPr>
        <w:t xml:space="preserve"> e</w:t>
      </w:r>
      <w:r w:rsidR="00500B3B" w:rsidRPr="008F486E">
        <w:rPr>
          <w:rFonts w:ascii="Arial" w:hAnsi="Arial" w:cs="Arial"/>
          <w:sz w:val="24"/>
          <w:szCs w:val="24"/>
        </w:rPr>
        <w:t>xpresar su apoyo a la iniciativa de las Naciones Unidas en fomentar la gestión de la información geoespacial entre los Estados miembros de la ONU, organizaciones internacionales y sector privado;</w:t>
      </w:r>
      <w:r w:rsidR="00BE5502" w:rsidRPr="008F486E">
        <w:rPr>
          <w:rFonts w:ascii="Arial" w:hAnsi="Arial" w:cs="Arial"/>
          <w:sz w:val="24"/>
          <w:szCs w:val="24"/>
        </w:rPr>
        <w:t xml:space="preserve"> </w:t>
      </w:r>
      <w:r w:rsidR="00500B3B" w:rsidRPr="008F486E">
        <w:rPr>
          <w:rFonts w:ascii="Arial" w:hAnsi="Arial" w:cs="Arial"/>
          <w:sz w:val="24"/>
          <w:szCs w:val="24"/>
        </w:rPr>
        <w:t xml:space="preserve">Emprender acciones para fomentar y reforzar la cooperación nacional, regional y global con el propósito de desarrollar una </w:t>
      </w:r>
      <w:r w:rsidR="00500B3B" w:rsidRPr="008F486E">
        <w:rPr>
          <w:rFonts w:ascii="Arial" w:hAnsi="Arial" w:cs="Arial"/>
          <w:sz w:val="24"/>
          <w:szCs w:val="24"/>
        </w:rPr>
        <w:lastRenderedPageBreak/>
        <w:t>comunidad global interconectada en la práctica de la información geoespacial al amparo de las Naciones Unidas;</w:t>
      </w:r>
      <w:r w:rsidR="00BE5502" w:rsidRPr="008F486E">
        <w:rPr>
          <w:rFonts w:ascii="Arial" w:hAnsi="Arial" w:cs="Arial"/>
          <w:sz w:val="24"/>
          <w:szCs w:val="24"/>
        </w:rPr>
        <w:t xml:space="preserve"> </w:t>
      </w:r>
      <w:r w:rsidR="00500B3B" w:rsidRPr="008F486E">
        <w:rPr>
          <w:rFonts w:ascii="Arial" w:hAnsi="Arial" w:cs="Arial"/>
          <w:sz w:val="24"/>
          <w:szCs w:val="24"/>
        </w:rPr>
        <w:t>Promover conjuntamente los procesos necesarios para conseguir un adecuado y efectivo tratamiento de datos geoespaciales nacionales p</w:t>
      </w:r>
      <w:r w:rsidR="0005437B" w:rsidRPr="008F486E">
        <w:rPr>
          <w:rFonts w:ascii="Arial" w:hAnsi="Arial" w:cs="Arial"/>
          <w:sz w:val="24"/>
          <w:szCs w:val="24"/>
        </w:rPr>
        <w:t xml:space="preserve">ara alcanzar una buena gestión </w:t>
      </w:r>
      <w:r w:rsidR="00500B3B" w:rsidRPr="008F486E">
        <w:rPr>
          <w:rFonts w:ascii="Arial" w:hAnsi="Arial" w:cs="Arial"/>
          <w:sz w:val="24"/>
          <w:szCs w:val="24"/>
        </w:rPr>
        <w:t>de la información geoespacial tanto a nivel</w:t>
      </w:r>
      <w:r w:rsidR="00BE5502" w:rsidRPr="008F486E">
        <w:rPr>
          <w:rFonts w:ascii="Arial" w:hAnsi="Arial" w:cs="Arial"/>
          <w:sz w:val="24"/>
          <w:szCs w:val="24"/>
        </w:rPr>
        <w:t xml:space="preserve"> nacional, regional como global y c</w:t>
      </w:r>
      <w:r w:rsidR="004D2D09" w:rsidRPr="008F486E">
        <w:rPr>
          <w:rFonts w:ascii="Arial" w:hAnsi="Arial" w:cs="Arial"/>
          <w:sz w:val="24"/>
          <w:szCs w:val="24"/>
        </w:rPr>
        <w:t>ompartir estrategias políticas, jurídicas y de financiación para desarrollar las mejores prácticas en la gestión de la información geoespacial como la recolección, almacenamiento, mantenimiento y diseminación a todos los niveles, incluyendo la integración de los datos geoespaciales con aquellos datos temáticos que procedan de otras fuentes, así como facilitar y promover estas capacidades en los países en desarrollo</w:t>
      </w:r>
      <w:r w:rsidR="004D2D09" w:rsidRPr="008F486E">
        <w:rPr>
          <w:rStyle w:val="Refdenotaalpie"/>
          <w:rFonts w:ascii="Arial" w:hAnsi="Arial" w:cs="Arial"/>
          <w:sz w:val="24"/>
          <w:szCs w:val="24"/>
        </w:rPr>
        <w:footnoteReference w:id="9"/>
      </w:r>
      <w:r w:rsidR="004D2D09" w:rsidRPr="008F486E">
        <w:rPr>
          <w:rFonts w:ascii="Arial" w:hAnsi="Arial" w:cs="Arial"/>
          <w:sz w:val="24"/>
          <w:szCs w:val="24"/>
        </w:rPr>
        <w:t>.</w:t>
      </w:r>
    </w:p>
    <w:p w:rsidR="00BF373D" w:rsidRPr="008F486E" w:rsidRDefault="005A498A" w:rsidP="008F486E">
      <w:pPr>
        <w:spacing w:line="360" w:lineRule="auto"/>
        <w:ind w:firstLine="360"/>
        <w:jc w:val="both"/>
        <w:rPr>
          <w:rFonts w:ascii="Arial" w:hAnsi="Arial" w:cs="Arial"/>
          <w:i/>
          <w:sz w:val="24"/>
          <w:szCs w:val="24"/>
        </w:rPr>
      </w:pPr>
      <w:r w:rsidRPr="008F486E">
        <w:rPr>
          <w:rFonts w:ascii="Arial" w:hAnsi="Arial" w:cs="Arial"/>
          <w:sz w:val="24"/>
          <w:szCs w:val="24"/>
        </w:rPr>
        <w:t>En la</w:t>
      </w:r>
      <w:r w:rsidRPr="008F486E">
        <w:rPr>
          <w:rFonts w:ascii="Arial" w:hAnsi="Arial" w:cs="Arial"/>
          <w:i/>
          <w:sz w:val="24"/>
          <w:szCs w:val="24"/>
        </w:rPr>
        <w:t xml:space="preserve"> </w:t>
      </w:r>
      <w:r w:rsidR="00B174D7" w:rsidRPr="008F486E">
        <w:rPr>
          <w:rFonts w:ascii="Arial" w:hAnsi="Arial" w:cs="Arial"/>
          <w:i/>
          <w:sz w:val="24"/>
          <w:szCs w:val="24"/>
        </w:rPr>
        <w:t>Declaración de Doha, de 6 de febrero de 2013, sobre el avance en la gestión global</w:t>
      </w:r>
      <w:r w:rsidRPr="008F486E">
        <w:rPr>
          <w:rFonts w:ascii="Arial" w:hAnsi="Arial" w:cs="Arial"/>
          <w:i/>
          <w:sz w:val="24"/>
          <w:szCs w:val="24"/>
        </w:rPr>
        <w:t xml:space="preserve"> de la información geoespacial, </w:t>
      </w:r>
      <w:r w:rsidRPr="008F486E">
        <w:rPr>
          <w:rFonts w:ascii="Arial" w:hAnsi="Arial" w:cs="Arial"/>
          <w:sz w:val="24"/>
          <w:szCs w:val="24"/>
        </w:rPr>
        <w:t>los</w:t>
      </w:r>
      <w:r w:rsidR="00B174D7" w:rsidRPr="008F486E">
        <w:rPr>
          <w:rFonts w:ascii="Arial" w:hAnsi="Arial" w:cs="Arial"/>
          <w:sz w:val="24"/>
          <w:szCs w:val="24"/>
        </w:rPr>
        <w:t xml:space="preserve"> participantes en el Segundo Foro de Alto nivel sobre gestión global de la información geoespacial, que tuvo lugar en Doha (Qatar) del 4 al 6 de febrero de 2013, dentro del contexto de las iniciativas de las Naciones Unidas para alcanzar una cooperación </w:t>
      </w:r>
      <w:r w:rsidR="0005437B" w:rsidRPr="008F486E">
        <w:rPr>
          <w:rFonts w:ascii="Arial" w:hAnsi="Arial" w:cs="Arial"/>
          <w:sz w:val="24"/>
          <w:szCs w:val="24"/>
        </w:rPr>
        <w:t>global en este ámbito, concluyeron</w:t>
      </w:r>
      <w:r w:rsidRPr="008F486E">
        <w:rPr>
          <w:rFonts w:ascii="Arial" w:hAnsi="Arial" w:cs="Arial"/>
          <w:sz w:val="24"/>
          <w:szCs w:val="24"/>
        </w:rPr>
        <w:t xml:space="preserve"> en :</w:t>
      </w:r>
      <w:r w:rsidR="00BE5502" w:rsidRPr="008F486E">
        <w:rPr>
          <w:rFonts w:ascii="Arial" w:hAnsi="Arial" w:cs="Arial"/>
          <w:sz w:val="24"/>
          <w:szCs w:val="24"/>
        </w:rPr>
        <w:t xml:space="preserve"> t</w:t>
      </w:r>
      <w:r w:rsidR="00B174D7" w:rsidRPr="008F486E">
        <w:rPr>
          <w:rFonts w:ascii="Arial" w:hAnsi="Arial" w:cs="Arial"/>
          <w:sz w:val="24"/>
          <w:szCs w:val="24"/>
        </w:rPr>
        <w:t>rabajar conjuntamente como una comunidad internacional, bajo la coordinación de las Naciones Unidas, para mejorar una infraestructura global sostenible</w:t>
      </w:r>
      <w:r w:rsidR="00602D4F" w:rsidRPr="008F486E">
        <w:rPr>
          <w:rFonts w:ascii="Arial" w:hAnsi="Arial" w:cs="Arial"/>
          <w:sz w:val="24"/>
          <w:szCs w:val="24"/>
        </w:rPr>
        <w:t xml:space="preserve"> para el apoyo del aumento de la demanda de aplicaciones de posicionamiento y monitoreo que llevan implícitos beneficios económicos y sociales;</w:t>
      </w:r>
      <w:r w:rsidR="00BE5502" w:rsidRPr="008F486E">
        <w:rPr>
          <w:rFonts w:ascii="Arial" w:hAnsi="Arial" w:cs="Arial"/>
          <w:sz w:val="24"/>
          <w:szCs w:val="24"/>
        </w:rPr>
        <w:t xml:space="preserve"> </w:t>
      </w:r>
      <w:r w:rsidR="00602D4F" w:rsidRPr="008F486E">
        <w:rPr>
          <w:rFonts w:ascii="Arial" w:hAnsi="Arial" w:cs="Arial"/>
          <w:sz w:val="24"/>
          <w:szCs w:val="24"/>
        </w:rPr>
        <w:t>Destacar la importancia de contar con una infraestructura nacional sobre información geoespacial que sea veraz en cada país y construida sobre unos estándares reconocidos internacionalmente y que proporcionen información geoespacial sobre su desarrollo local, desastres y necesidades humanitarias;</w:t>
      </w:r>
      <w:r w:rsidR="00BE5502" w:rsidRPr="008F486E">
        <w:rPr>
          <w:rFonts w:ascii="Arial" w:hAnsi="Arial" w:cs="Arial"/>
          <w:sz w:val="24"/>
          <w:szCs w:val="24"/>
        </w:rPr>
        <w:t xml:space="preserve"> </w:t>
      </w:r>
      <w:r w:rsidR="00602D4F" w:rsidRPr="008F486E">
        <w:rPr>
          <w:rFonts w:ascii="Arial" w:hAnsi="Arial" w:cs="Arial"/>
          <w:sz w:val="24"/>
          <w:szCs w:val="24"/>
        </w:rPr>
        <w:t>Promover una mayor utilización de la información geoespacial en el marco del desarrollo sostenible prestando particular atención a la gestión de riesgos de desastres naturales en las poblaciones urbanas así como el desarrollo de estrategias de mitigación que sean efectivas;</w:t>
      </w:r>
      <w:r w:rsidR="00BE5502" w:rsidRPr="008F486E">
        <w:rPr>
          <w:rFonts w:ascii="Arial" w:hAnsi="Arial" w:cs="Arial"/>
          <w:sz w:val="24"/>
          <w:szCs w:val="24"/>
        </w:rPr>
        <w:t xml:space="preserve"> </w:t>
      </w:r>
      <w:r w:rsidR="00602D4F" w:rsidRPr="008F486E">
        <w:rPr>
          <w:rFonts w:ascii="Arial" w:hAnsi="Arial" w:cs="Arial"/>
          <w:sz w:val="24"/>
          <w:szCs w:val="24"/>
        </w:rPr>
        <w:t>Reconocer la importancia d</w:t>
      </w:r>
      <w:r w:rsidR="001A4286" w:rsidRPr="008F486E">
        <w:rPr>
          <w:rFonts w:ascii="Arial" w:hAnsi="Arial" w:cs="Arial"/>
          <w:sz w:val="24"/>
          <w:szCs w:val="24"/>
        </w:rPr>
        <w:t>e contar con una Infraestructura</w:t>
      </w:r>
      <w:r w:rsidR="00602D4F" w:rsidRPr="008F486E">
        <w:rPr>
          <w:rFonts w:ascii="Arial" w:hAnsi="Arial" w:cs="Arial"/>
          <w:sz w:val="24"/>
          <w:szCs w:val="24"/>
        </w:rPr>
        <w:t xml:space="preserve"> global que contenga datos de referencia centralizados, necesarios para apoyar las actividades globales de desarrollo sostenible, así como trabajar conjuntamente para la preparación, mejora y mantenimiento de ese conjunto global de datos de referencia;</w:t>
      </w:r>
      <w:r w:rsidR="00BE5502" w:rsidRPr="008F486E">
        <w:rPr>
          <w:rFonts w:ascii="Arial" w:hAnsi="Arial" w:cs="Arial"/>
          <w:sz w:val="24"/>
          <w:szCs w:val="24"/>
        </w:rPr>
        <w:t xml:space="preserve"> </w:t>
      </w:r>
      <w:r w:rsidR="0005437B" w:rsidRPr="008F486E">
        <w:rPr>
          <w:rFonts w:ascii="Arial" w:hAnsi="Arial" w:cs="Arial"/>
          <w:sz w:val="24"/>
          <w:szCs w:val="24"/>
        </w:rPr>
        <w:lastRenderedPageBreak/>
        <w:t>Colaborar</w:t>
      </w:r>
      <w:r w:rsidR="00EC6EE3" w:rsidRPr="008F486E">
        <w:rPr>
          <w:rFonts w:ascii="Arial" w:hAnsi="Arial" w:cs="Arial"/>
          <w:sz w:val="24"/>
          <w:szCs w:val="24"/>
        </w:rPr>
        <w:t xml:space="preserve"> para disponer de programas de entrenamiento a todos los niveles y contribuir a una base global que promueva la transferencia de conocimiento incluyendo intercambio de experiencias, mejores prácticas, retos tecnológicos, legislación de apoyo y otros recursos necesarios para facilitar y promover </w:t>
      </w:r>
      <w:r w:rsidR="00BE5502" w:rsidRPr="008F486E">
        <w:rPr>
          <w:rFonts w:ascii="Arial" w:hAnsi="Arial" w:cs="Arial"/>
          <w:sz w:val="24"/>
          <w:szCs w:val="24"/>
        </w:rPr>
        <w:t>la capacidad para el desarrollo y,  p</w:t>
      </w:r>
      <w:r w:rsidR="00EC6EE3" w:rsidRPr="008F486E">
        <w:rPr>
          <w:rFonts w:ascii="Arial" w:hAnsi="Arial" w:cs="Arial"/>
          <w:sz w:val="24"/>
          <w:szCs w:val="24"/>
        </w:rPr>
        <w:t>or último, se anima a la colaboración regional, en promoción de la gestión de la información geoespacial y el establecimiento de unos mecanismos regionales de coordinación</w:t>
      </w:r>
      <w:r w:rsidR="00DB6E3C" w:rsidRPr="008F486E">
        <w:rPr>
          <w:rFonts w:ascii="Arial" w:hAnsi="Arial" w:cs="Arial"/>
          <w:sz w:val="24"/>
          <w:szCs w:val="24"/>
        </w:rPr>
        <w:t xml:space="preserve"> y estrategias de implementación</w:t>
      </w:r>
      <w:r w:rsidR="002A6DF0" w:rsidRPr="008F486E">
        <w:rPr>
          <w:rStyle w:val="Refdenotaalpie"/>
          <w:rFonts w:ascii="Arial" w:hAnsi="Arial" w:cs="Arial"/>
          <w:sz w:val="24"/>
          <w:szCs w:val="24"/>
        </w:rPr>
        <w:footnoteReference w:id="10"/>
      </w:r>
      <w:r w:rsidR="00DB6E3C" w:rsidRPr="008F486E">
        <w:rPr>
          <w:rFonts w:ascii="Arial" w:hAnsi="Arial" w:cs="Arial"/>
          <w:sz w:val="24"/>
          <w:szCs w:val="24"/>
        </w:rPr>
        <w:t>.</w:t>
      </w:r>
    </w:p>
    <w:p w:rsidR="00BF373D" w:rsidRPr="008F486E" w:rsidRDefault="00506833"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El Consejo Económico </w:t>
      </w:r>
      <w:r w:rsidR="00AD4AFB" w:rsidRPr="008F486E">
        <w:rPr>
          <w:rFonts w:ascii="Arial" w:hAnsi="Arial" w:cs="Arial"/>
          <w:sz w:val="24"/>
          <w:szCs w:val="24"/>
        </w:rPr>
        <w:t>y Social aprobando</w:t>
      </w:r>
      <w:r w:rsidRPr="008F486E">
        <w:rPr>
          <w:rFonts w:ascii="Arial" w:hAnsi="Arial" w:cs="Arial"/>
          <w:sz w:val="24"/>
          <w:szCs w:val="24"/>
        </w:rPr>
        <w:t xml:space="preserve"> la </w:t>
      </w:r>
      <w:r w:rsidRPr="008F486E">
        <w:rPr>
          <w:rFonts w:ascii="Arial" w:hAnsi="Arial" w:cs="Arial"/>
          <w:i/>
          <w:sz w:val="24"/>
          <w:szCs w:val="24"/>
        </w:rPr>
        <w:t>Resolución 2016/27 “ Fortalecimiento de los acuerdos institucionales nacionales sobre gestión de la información geoespacial</w:t>
      </w:r>
      <w:r w:rsidRPr="008F486E">
        <w:rPr>
          <w:rFonts w:ascii="Arial" w:hAnsi="Arial" w:cs="Arial"/>
          <w:sz w:val="24"/>
          <w:szCs w:val="24"/>
        </w:rPr>
        <w:t>”</w:t>
      </w:r>
      <w:r w:rsidR="00B25847" w:rsidRPr="008F486E">
        <w:rPr>
          <w:rStyle w:val="Refdenotaalpie"/>
          <w:rFonts w:ascii="Arial" w:hAnsi="Arial" w:cs="Arial"/>
          <w:sz w:val="24"/>
          <w:szCs w:val="24"/>
        </w:rPr>
        <w:footnoteReference w:id="11"/>
      </w:r>
      <w:r w:rsidR="00AD4AFB" w:rsidRPr="008F486E">
        <w:rPr>
          <w:rFonts w:ascii="Arial" w:hAnsi="Arial" w:cs="Arial"/>
          <w:sz w:val="24"/>
          <w:szCs w:val="24"/>
        </w:rPr>
        <w:t xml:space="preserve"> </w:t>
      </w:r>
      <w:r w:rsidRPr="008F486E">
        <w:rPr>
          <w:rFonts w:ascii="Arial" w:hAnsi="Arial" w:cs="Arial"/>
          <w:sz w:val="24"/>
          <w:szCs w:val="24"/>
        </w:rPr>
        <w:t>r</w:t>
      </w:r>
      <w:r w:rsidR="00BE5502" w:rsidRPr="008F486E">
        <w:rPr>
          <w:rFonts w:ascii="Arial" w:hAnsi="Arial" w:cs="Arial"/>
          <w:sz w:val="24"/>
          <w:szCs w:val="24"/>
        </w:rPr>
        <w:t>econoce</w:t>
      </w:r>
      <w:r w:rsidRPr="008F486E">
        <w:rPr>
          <w:rFonts w:ascii="Arial" w:hAnsi="Arial" w:cs="Arial"/>
          <w:sz w:val="24"/>
          <w:szCs w:val="24"/>
        </w:rPr>
        <w:t xml:space="preserve"> que el Comité de Expertos sobre la Gestión Mundial d</w:t>
      </w:r>
      <w:r w:rsidR="005A498A" w:rsidRPr="008F486E">
        <w:rPr>
          <w:rFonts w:ascii="Arial" w:hAnsi="Arial" w:cs="Arial"/>
          <w:sz w:val="24"/>
          <w:szCs w:val="24"/>
        </w:rPr>
        <w:t xml:space="preserve">e la Información Geoespacial ha </w:t>
      </w:r>
      <w:r w:rsidRPr="008F486E">
        <w:rPr>
          <w:rFonts w:ascii="Arial" w:hAnsi="Arial" w:cs="Arial"/>
          <w:sz w:val="24"/>
          <w:szCs w:val="24"/>
        </w:rPr>
        <w:t>funcionado eficazmente y que está en condiciones de seguir contribuyendo a la labor de las Naciones Unidas, especialmente en el contexto de los esfuerzos encaminados a ayudar a los Estados Miembros a aplicar la Agenda 2030 para el Desarrollo Sostenible</w:t>
      </w:r>
      <w:r w:rsidR="006706EC" w:rsidRPr="008F486E">
        <w:rPr>
          <w:rStyle w:val="Refdenotaalpie"/>
          <w:rFonts w:ascii="Arial" w:hAnsi="Arial" w:cs="Arial"/>
          <w:sz w:val="24"/>
          <w:szCs w:val="24"/>
        </w:rPr>
        <w:footnoteReference w:id="12"/>
      </w:r>
      <w:r w:rsidRPr="008F486E">
        <w:rPr>
          <w:rFonts w:ascii="Arial" w:hAnsi="Arial" w:cs="Arial"/>
          <w:sz w:val="24"/>
          <w:szCs w:val="24"/>
        </w:rPr>
        <w:t>, el Marco de Sendai para la Reducción del Riesgo de Desastres 2015-2030</w:t>
      </w:r>
      <w:r w:rsidR="00333D72" w:rsidRPr="008F486E">
        <w:rPr>
          <w:rStyle w:val="Refdenotaalpie"/>
          <w:rFonts w:ascii="Arial" w:hAnsi="Arial" w:cs="Arial"/>
          <w:sz w:val="24"/>
          <w:szCs w:val="24"/>
        </w:rPr>
        <w:footnoteReference w:id="13"/>
      </w:r>
      <w:r w:rsidRPr="008F486E">
        <w:rPr>
          <w:rFonts w:ascii="Arial" w:hAnsi="Arial" w:cs="Arial"/>
          <w:sz w:val="24"/>
          <w:szCs w:val="24"/>
        </w:rPr>
        <w:t>, el Acuerdo de París sobre el cambio climático</w:t>
      </w:r>
      <w:r w:rsidR="00333D72" w:rsidRPr="008F486E">
        <w:rPr>
          <w:rStyle w:val="Refdenotaalpie"/>
          <w:rFonts w:ascii="Arial" w:hAnsi="Arial" w:cs="Arial"/>
          <w:sz w:val="24"/>
          <w:szCs w:val="24"/>
        </w:rPr>
        <w:footnoteReference w:id="14"/>
      </w:r>
      <w:r w:rsidRPr="008F486E">
        <w:rPr>
          <w:rFonts w:ascii="Arial" w:hAnsi="Arial" w:cs="Arial"/>
          <w:sz w:val="24"/>
          <w:szCs w:val="24"/>
        </w:rPr>
        <w:t xml:space="preserve"> y </w:t>
      </w:r>
      <w:r w:rsidR="00B25847" w:rsidRPr="008F486E">
        <w:rPr>
          <w:rFonts w:ascii="Arial" w:hAnsi="Arial" w:cs="Arial"/>
          <w:sz w:val="24"/>
          <w:szCs w:val="24"/>
        </w:rPr>
        <w:t xml:space="preserve">la </w:t>
      </w:r>
      <w:r w:rsidR="009B0817" w:rsidRPr="008F486E">
        <w:rPr>
          <w:rFonts w:ascii="Arial" w:hAnsi="Arial" w:cs="Arial"/>
          <w:sz w:val="24"/>
          <w:szCs w:val="24"/>
        </w:rPr>
        <w:t>importancia de fortalecer la creación de capacidad en la esfera de la gestión de la información geoespacial y la integración de datos estadísticos pertinentes, especialmente en los países menos adelantados, los</w:t>
      </w:r>
      <w:r w:rsidR="00B25847" w:rsidRPr="008F486E">
        <w:rPr>
          <w:rFonts w:ascii="Arial" w:hAnsi="Arial" w:cs="Arial"/>
          <w:sz w:val="24"/>
          <w:szCs w:val="24"/>
        </w:rPr>
        <w:t xml:space="preserve"> países en desarrollo sin litoral y los pequeños Estados insulares en desarrollo.</w:t>
      </w:r>
    </w:p>
    <w:p w:rsidR="005A498A" w:rsidRPr="008F486E" w:rsidRDefault="005A498A" w:rsidP="008F486E">
      <w:pPr>
        <w:spacing w:line="360" w:lineRule="auto"/>
        <w:ind w:firstLine="360"/>
        <w:jc w:val="both"/>
        <w:rPr>
          <w:rFonts w:ascii="Arial" w:hAnsi="Arial" w:cs="Arial"/>
          <w:sz w:val="24"/>
          <w:szCs w:val="24"/>
        </w:rPr>
      </w:pPr>
    </w:p>
    <w:p w:rsidR="006F77F4" w:rsidRPr="008F486E" w:rsidRDefault="006F77F4" w:rsidP="008F486E">
      <w:pPr>
        <w:pStyle w:val="Prrafodelista"/>
        <w:numPr>
          <w:ilvl w:val="2"/>
          <w:numId w:val="4"/>
        </w:numPr>
        <w:spacing w:line="360" w:lineRule="auto"/>
        <w:jc w:val="both"/>
        <w:rPr>
          <w:rFonts w:ascii="Arial" w:hAnsi="Arial" w:cs="Arial"/>
          <w:b/>
          <w:i/>
          <w:sz w:val="24"/>
          <w:szCs w:val="24"/>
        </w:rPr>
      </w:pPr>
      <w:r w:rsidRPr="008F486E">
        <w:rPr>
          <w:rFonts w:ascii="Arial" w:hAnsi="Arial" w:cs="Arial"/>
          <w:b/>
          <w:i/>
          <w:sz w:val="24"/>
          <w:szCs w:val="24"/>
        </w:rPr>
        <w:t>UNGIWG</w:t>
      </w:r>
    </w:p>
    <w:p w:rsidR="00D6139A" w:rsidRPr="008F486E" w:rsidRDefault="00857CE3" w:rsidP="008F486E">
      <w:pPr>
        <w:spacing w:line="360" w:lineRule="auto"/>
        <w:ind w:firstLine="360"/>
        <w:jc w:val="both"/>
        <w:rPr>
          <w:rFonts w:ascii="Arial" w:hAnsi="Arial" w:cs="Arial"/>
          <w:sz w:val="24"/>
          <w:szCs w:val="24"/>
        </w:rPr>
      </w:pPr>
      <w:r w:rsidRPr="008F486E">
        <w:rPr>
          <w:rFonts w:ascii="Arial" w:hAnsi="Arial" w:cs="Arial"/>
          <w:sz w:val="24"/>
          <w:szCs w:val="24"/>
        </w:rPr>
        <w:lastRenderedPageBreak/>
        <w:t>El Grupo de Trabajo sobre</w:t>
      </w:r>
      <w:r w:rsidR="001A4286" w:rsidRPr="008F486E">
        <w:rPr>
          <w:rFonts w:ascii="Arial" w:hAnsi="Arial" w:cs="Arial"/>
          <w:sz w:val="24"/>
          <w:szCs w:val="24"/>
        </w:rPr>
        <w:t xml:space="preserve"> información Geográfica de las N</w:t>
      </w:r>
      <w:r w:rsidRPr="008F486E">
        <w:rPr>
          <w:rFonts w:ascii="Arial" w:hAnsi="Arial" w:cs="Arial"/>
          <w:sz w:val="24"/>
          <w:szCs w:val="24"/>
        </w:rPr>
        <w:t>aciones Unidas</w:t>
      </w:r>
      <w:r w:rsidR="00932AFF" w:rsidRPr="008F486E">
        <w:rPr>
          <w:rFonts w:ascii="Arial" w:hAnsi="Arial" w:cs="Arial"/>
          <w:sz w:val="24"/>
          <w:szCs w:val="24"/>
        </w:rPr>
        <w:t xml:space="preserve"> (UNGIWG, por sus siglas en inglés: </w:t>
      </w:r>
      <w:proofErr w:type="spellStart"/>
      <w:r w:rsidR="00932AFF" w:rsidRPr="008F486E">
        <w:rPr>
          <w:rFonts w:ascii="Arial" w:hAnsi="Arial" w:cs="Arial"/>
          <w:i/>
          <w:sz w:val="24"/>
          <w:szCs w:val="24"/>
        </w:rPr>
        <w:t>United</w:t>
      </w:r>
      <w:proofErr w:type="spellEnd"/>
      <w:r w:rsidR="00932AFF" w:rsidRPr="008F486E">
        <w:rPr>
          <w:rFonts w:ascii="Arial" w:hAnsi="Arial" w:cs="Arial"/>
          <w:i/>
          <w:sz w:val="24"/>
          <w:szCs w:val="24"/>
        </w:rPr>
        <w:t xml:space="preserve"> </w:t>
      </w:r>
      <w:proofErr w:type="spellStart"/>
      <w:r w:rsidR="00932AFF" w:rsidRPr="008F486E">
        <w:rPr>
          <w:rFonts w:ascii="Arial" w:hAnsi="Arial" w:cs="Arial"/>
          <w:i/>
          <w:sz w:val="24"/>
          <w:szCs w:val="24"/>
        </w:rPr>
        <w:t>Nations</w:t>
      </w:r>
      <w:proofErr w:type="spellEnd"/>
      <w:r w:rsidR="00932AFF" w:rsidRPr="008F486E">
        <w:rPr>
          <w:rFonts w:ascii="Arial" w:hAnsi="Arial" w:cs="Arial"/>
          <w:i/>
          <w:sz w:val="24"/>
          <w:szCs w:val="24"/>
        </w:rPr>
        <w:t xml:space="preserve"> </w:t>
      </w:r>
      <w:proofErr w:type="spellStart"/>
      <w:r w:rsidR="00932AFF" w:rsidRPr="008F486E">
        <w:rPr>
          <w:rFonts w:ascii="Arial" w:hAnsi="Arial" w:cs="Arial"/>
          <w:i/>
          <w:sz w:val="24"/>
          <w:szCs w:val="24"/>
        </w:rPr>
        <w:t>Geographic</w:t>
      </w:r>
      <w:proofErr w:type="spellEnd"/>
      <w:r w:rsidR="00932AFF" w:rsidRPr="008F486E">
        <w:rPr>
          <w:rFonts w:ascii="Arial" w:hAnsi="Arial" w:cs="Arial"/>
          <w:i/>
          <w:sz w:val="24"/>
          <w:szCs w:val="24"/>
        </w:rPr>
        <w:t xml:space="preserve"> </w:t>
      </w:r>
      <w:proofErr w:type="spellStart"/>
      <w:r w:rsidR="00932AFF" w:rsidRPr="008F486E">
        <w:rPr>
          <w:rFonts w:ascii="Arial" w:hAnsi="Arial" w:cs="Arial"/>
          <w:i/>
          <w:sz w:val="24"/>
          <w:szCs w:val="24"/>
        </w:rPr>
        <w:t>Information</w:t>
      </w:r>
      <w:proofErr w:type="spellEnd"/>
      <w:r w:rsidR="00932AFF" w:rsidRPr="008F486E">
        <w:rPr>
          <w:rFonts w:ascii="Arial" w:hAnsi="Arial" w:cs="Arial"/>
          <w:i/>
          <w:sz w:val="24"/>
          <w:szCs w:val="24"/>
        </w:rPr>
        <w:t xml:space="preserve"> </w:t>
      </w:r>
      <w:proofErr w:type="spellStart"/>
      <w:r w:rsidR="00932AFF" w:rsidRPr="008F486E">
        <w:rPr>
          <w:rFonts w:ascii="Arial" w:hAnsi="Arial" w:cs="Arial"/>
          <w:i/>
          <w:sz w:val="24"/>
          <w:szCs w:val="24"/>
        </w:rPr>
        <w:t>Working</w:t>
      </w:r>
      <w:proofErr w:type="spellEnd"/>
      <w:r w:rsidR="00932AFF" w:rsidRPr="008F486E">
        <w:rPr>
          <w:rFonts w:ascii="Arial" w:hAnsi="Arial" w:cs="Arial"/>
          <w:i/>
          <w:sz w:val="24"/>
          <w:szCs w:val="24"/>
        </w:rPr>
        <w:t xml:space="preserve"> </w:t>
      </w:r>
      <w:proofErr w:type="spellStart"/>
      <w:r w:rsidR="00932AFF" w:rsidRPr="008F486E">
        <w:rPr>
          <w:rFonts w:ascii="Arial" w:hAnsi="Arial" w:cs="Arial"/>
          <w:i/>
          <w:sz w:val="24"/>
          <w:szCs w:val="24"/>
        </w:rPr>
        <w:t>Group</w:t>
      </w:r>
      <w:proofErr w:type="spellEnd"/>
      <w:r w:rsidR="005A498A" w:rsidRPr="008F486E">
        <w:rPr>
          <w:rFonts w:ascii="Arial" w:hAnsi="Arial" w:cs="Arial"/>
          <w:sz w:val="24"/>
          <w:szCs w:val="24"/>
        </w:rPr>
        <w:t>)</w:t>
      </w:r>
      <w:r w:rsidR="00932AFF" w:rsidRPr="008F486E">
        <w:rPr>
          <w:rFonts w:ascii="Arial" w:hAnsi="Arial" w:cs="Arial"/>
          <w:sz w:val="24"/>
          <w:szCs w:val="24"/>
        </w:rPr>
        <w:t xml:space="preserve">, </w:t>
      </w:r>
      <w:r w:rsidRPr="008F486E">
        <w:rPr>
          <w:rFonts w:ascii="Arial" w:hAnsi="Arial" w:cs="Arial"/>
          <w:sz w:val="24"/>
          <w:szCs w:val="24"/>
        </w:rPr>
        <w:t>es una red voluntaria de profesionales que trabajan en las áreas de información sobre cartografía y geología. Este grupo se constituyó en el año 2000</w:t>
      </w:r>
      <w:r w:rsidR="001A4286" w:rsidRPr="008F486E">
        <w:rPr>
          <w:rFonts w:ascii="Arial" w:hAnsi="Arial" w:cs="Arial"/>
          <w:sz w:val="24"/>
          <w:szCs w:val="24"/>
        </w:rPr>
        <w:t xml:space="preserve"> para reconducir temas geoespaciales comunes como mapas, fronteras y estándares que afecten al trabajo de los Estados mi</w:t>
      </w:r>
      <w:r w:rsidR="00932AFF" w:rsidRPr="008F486E">
        <w:rPr>
          <w:rFonts w:ascii="Arial" w:hAnsi="Arial" w:cs="Arial"/>
          <w:sz w:val="24"/>
          <w:szCs w:val="24"/>
        </w:rPr>
        <w:t>embros y organizaciones de las N</w:t>
      </w:r>
      <w:r w:rsidR="001A4286" w:rsidRPr="008F486E">
        <w:rPr>
          <w:rFonts w:ascii="Arial" w:hAnsi="Arial" w:cs="Arial"/>
          <w:sz w:val="24"/>
          <w:szCs w:val="24"/>
        </w:rPr>
        <w:t>aciones Unidas. UNCIWG también trabaja directamente con organizaciones no gubernamentales, instituciones dedicadas a la investigación y con la industria con el objetivo de desarrollar y mantener unas bases de datos geográficos comunes y tecnologías geoespaciales que potencien capacidades tanto normativas c</w:t>
      </w:r>
      <w:r w:rsidR="002A2824" w:rsidRPr="008F486E">
        <w:rPr>
          <w:rFonts w:ascii="Arial" w:hAnsi="Arial" w:cs="Arial"/>
          <w:sz w:val="24"/>
          <w:szCs w:val="24"/>
        </w:rPr>
        <w:t>omo operacionales, en definitiva</w:t>
      </w:r>
      <w:r w:rsidR="001A4286" w:rsidRPr="008F486E">
        <w:rPr>
          <w:rFonts w:ascii="Arial" w:hAnsi="Arial" w:cs="Arial"/>
          <w:sz w:val="24"/>
          <w:szCs w:val="24"/>
        </w:rPr>
        <w:t>:</w:t>
      </w:r>
      <w:r w:rsidR="008C4BC2" w:rsidRPr="008F486E">
        <w:rPr>
          <w:rFonts w:ascii="Arial" w:hAnsi="Arial" w:cs="Arial"/>
          <w:sz w:val="24"/>
          <w:szCs w:val="24"/>
        </w:rPr>
        <w:t xml:space="preserve"> m</w:t>
      </w:r>
      <w:r w:rsidR="001A4286" w:rsidRPr="008F486E">
        <w:rPr>
          <w:rFonts w:ascii="Arial" w:hAnsi="Arial" w:cs="Arial"/>
          <w:sz w:val="24"/>
          <w:szCs w:val="24"/>
        </w:rPr>
        <w:t>ejorar el uso efic</w:t>
      </w:r>
      <w:r w:rsidR="00D95534" w:rsidRPr="008F486E">
        <w:rPr>
          <w:rFonts w:ascii="Arial" w:hAnsi="Arial" w:cs="Arial"/>
          <w:sz w:val="24"/>
          <w:szCs w:val="24"/>
        </w:rPr>
        <w:t>az de la información geográfica;</w:t>
      </w:r>
      <w:r w:rsidR="008C4BC2" w:rsidRPr="008F486E">
        <w:rPr>
          <w:rFonts w:ascii="Arial" w:hAnsi="Arial" w:cs="Arial"/>
          <w:sz w:val="24"/>
          <w:szCs w:val="24"/>
        </w:rPr>
        <w:t xml:space="preserve"> </w:t>
      </w:r>
      <w:r w:rsidR="001A4286" w:rsidRPr="008F486E">
        <w:rPr>
          <w:rFonts w:ascii="Arial" w:hAnsi="Arial" w:cs="Arial"/>
          <w:sz w:val="24"/>
          <w:szCs w:val="24"/>
        </w:rPr>
        <w:t>Promover estándares y normas para el conjun</w:t>
      </w:r>
      <w:r w:rsidR="00287F7D" w:rsidRPr="008F486E">
        <w:rPr>
          <w:rFonts w:ascii="Arial" w:hAnsi="Arial" w:cs="Arial"/>
          <w:sz w:val="24"/>
          <w:szCs w:val="24"/>
        </w:rPr>
        <w:t>to de la información geográfica</w:t>
      </w:r>
      <w:r w:rsidR="00D95534" w:rsidRPr="008F486E">
        <w:rPr>
          <w:rFonts w:ascii="Arial" w:hAnsi="Arial" w:cs="Arial"/>
          <w:sz w:val="24"/>
          <w:szCs w:val="24"/>
        </w:rPr>
        <w:t>;</w:t>
      </w:r>
      <w:r w:rsidR="008C4BC2" w:rsidRPr="008F486E">
        <w:rPr>
          <w:rFonts w:ascii="Arial" w:hAnsi="Arial" w:cs="Arial"/>
          <w:sz w:val="24"/>
          <w:szCs w:val="24"/>
        </w:rPr>
        <w:t xml:space="preserve"> </w:t>
      </w:r>
      <w:r w:rsidR="001A4286" w:rsidRPr="008F486E">
        <w:rPr>
          <w:rFonts w:ascii="Arial" w:hAnsi="Arial" w:cs="Arial"/>
          <w:sz w:val="24"/>
          <w:szCs w:val="24"/>
        </w:rPr>
        <w:t>Desarrollar un cuerpo o infraestructura central de datos geográficos para ev</w:t>
      </w:r>
      <w:r w:rsidR="00D95534" w:rsidRPr="008F486E">
        <w:rPr>
          <w:rFonts w:ascii="Arial" w:hAnsi="Arial" w:cs="Arial"/>
          <w:sz w:val="24"/>
          <w:szCs w:val="24"/>
        </w:rPr>
        <w:t>itar duplicaciones innecesarias;</w:t>
      </w:r>
      <w:r w:rsidR="008C4BC2" w:rsidRPr="008F486E">
        <w:rPr>
          <w:rFonts w:ascii="Arial" w:hAnsi="Arial" w:cs="Arial"/>
          <w:sz w:val="24"/>
          <w:szCs w:val="24"/>
        </w:rPr>
        <w:t xml:space="preserve"> </w:t>
      </w:r>
      <w:r w:rsidR="001A4286" w:rsidRPr="008F486E">
        <w:rPr>
          <w:rFonts w:ascii="Arial" w:hAnsi="Arial" w:cs="Arial"/>
          <w:sz w:val="24"/>
          <w:szCs w:val="24"/>
        </w:rPr>
        <w:t>Establecer mecanismos para compartir, mantener y asegurar la calidad de la información geográfica</w:t>
      </w:r>
      <w:r w:rsidR="008C4BC2" w:rsidRPr="008F486E">
        <w:rPr>
          <w:rFonts w:ascii="Arial" w:hAnsi="Arial" w:cs="Arial"/>
          <w:sz w:val="24"/>
          <w:szCs w:val="24"/>
        </w:rPr>
        <w:t xml:space="preserve"> y p</w:t>
      </w:r>
      <w:r w:rsidR="00287F7D" w:rsidRPr="008F486E">
        <w:rPr>
          <w:rFonts w:ascii="Arial" w:hAnsi="Arial" w:cs="Arial"/>
          <w:sz w:val="24"/>
          <w:szCs w:val="24"/>
        </w:rPr>
        <w:t>roporcionar foros de debate sobre asuntos comunes y nuevos avances tecnológicos.</w:t>
      </w:r>
    </w:p>
    <w:p w:rsidR="00907E8B" w:rsidRPr="008F486E" w:rsidRDefault="00D6139A" w:rsidP="008F486E">
      <w:pPr>
        <w:spacing w:line="360" w:lineRule="auto"/>
        <w:ind w:firstLine="360"/>
        <w:jc w:val="both"/>
        <w:rPr>
          <w:rFonts w:ascii="Arial" w:hAnsi="Arial" w:cs="Arial"/>
          <w:b/>
          <w:i/>
          <w:sz w:val="24"/>
          <w:szCs w:val="24"/>
        </w:rPr>
      </w:pPr>
      <w:r w:rsidRPr="008F486E">
        <w:rPr>
          <w:rFonts w:ascii="Arial" w:hAnsi="Arial" w:cs="Arial"/>
          <w:sz w:val="24"/>
          <w:szCs w:val="24"/>
        </w:rPr>
        <w:t xml:space="preserve">La </w:t>
      </w:r>
      <w:r w:rsidR="006F77F4" w:rsidRPr="008F486E">
        <w:rPr>
          <w:rFonts w:ascii="Arial" w:hAnsi="Arial" w:cs="Arial"/>
          <w:i/>
          <w:sz w:val="24"/>
          <w:szCs w:val="24"/>
        </w:rPr>
        <w:t>Declaración de Estambul</w:t>
      </w:r>
      <w:r w:rsidR="00F53773" w:rsidRPr="008F486E">
        <w:rPr>
          <w:rFonts w:ascii="Arial" w:hAnsi="Arial" w:cs="Arial"/>
          <w:i/>
          <w:sz w:val="24"/>
          <w:szCs w:val="24"/>
        </w:rPr>
        <w:t>,</w:t>
      </w:r>
      <w:r w:rsidR="00857CE3" w:rsidRPr="008F486E">
        <w:rPr>
          <w:rFonts w:ascii="Arial" w:hAnsi="Arial" w:cs="Arial"/>
          <w:i/>
          <w:sz w:val="24"/>
          <w:szCs w:val="24"/>
        </w:rPr>
        <w:t xml:space="preserve"> de 1 de marzo de 2013</w:t>
      </w:r>
      <w:r w:rsidRPr="008F486E">
        <w:rPr>
          <w:rFonts w:ascii="Arial" w:hAnsi="Arial" w:cs="Arial"/>
          <w:i/>
          <w:sz w:val="24"/>
          <w:szCs w:val="24"/>
        </w:rPr>
        <w:t xml:space="preserve"> </w:t>
      </w:r>
      <w:r w:rsidRPr="008F486E">
        <w:rPr>
          <w:rFonts w:ascii="Arial" w:hAnsi="Arial" w:cs="Arial"/>
          <w:sz w:val="24"/>
          <w:szCs w:val="24"/>
        </w:rPr>
        <w:t>fue</w:t>
      </w:r>
      <w:r w:rsidRPr="008F486E">
        <w:rPr>
          <w:rFonts w:ascii="Arial" w:hAnsi="Arial" w:cs="Arial"/>
          <w:b/>
          <w:i/>
          <w:sz w:val="24"/>
          <w:szCs w:val="24"/>
        </w:rPr>
        <w:t xml:space="preserve"> </w:t>
      </w:r>
      <w:r w:rsidRPr="008F486E">
        <w:rPr>
          <w:rFonts w:ascii="Arial" w:hAnsi="Arial" w:cs="Arial"/>
          <w:sz w:val="24"/>
          <w:szCs w:val="24"/>
        </w:rPr>
        <w:t>e</w:t>
      </w:r>
      <w:r w:rsidR="00F53773" w:rsidRPr="008F486E">
        <w:rPr>
          <w:rFonts w:ascii="Arial" w:hAnsi="Arial" w:cs="Arial"/>
          <w:sz w:val="24"/>
          <w:szCs w:val="24"/>
        </w:rPr>
        <w:t xml:space="preserve">laborada por el </w:t>
      </w:r>
      <w:r w:rsidR="00F53773" w:rsidRPr="008F486E">
        <w:rPr>
          <w:rFonts w:ascii="Arial" w:hAnsi="Arial" w:cs="Arial"/>
          <w:i/>
          <w:sz w:val="24"/>
          <w:szCs w:val="24"/>
        </w:rPr>
        <w:t>UNCIWG</w:t>
      </w:r>
      <w:r w:rsidR="00F53773" w:rsidRPr="008F486E">
        <w:rPr>
          <w:rFonts w:ascii="Arial" w:hAnsi="Arial" w:cs="Arial"/>
          <w:sz w:val="24"/>
          <w:szCs w:val="24"/>
        </w:rPr>
        <w:t xml:space="preserve"> un año después de la inauguración del </w:t>
      </w:r>
      <w:r w:rsidR="00F53773" w:rsidRPr="008F486E">
        <w:rPr>
          <w:rFonts w:ascii="Arial" w:hAnsi="Arial" w:cs="Arial"/>
          <w:i/>
          <w:sz w:val="24"/>
          <w:szCs w:val="24"/>
        </w:rPr>
        <w:t xml:space="preserve">UNSDI </w:t>
      </w:r>
      <w:r w:rsidR="00F53773" w:rsidRPr="008F486E">
        <w:rPr>
          <w:rFonts w:ascii="Arial" w:hAnsi="Arial" w:cs="Arial"/>
          <w:sz w:val="24"/>
          <w:szCs w:val="24"/>
        </w:rPr>
        <w:t>(</w:t>
      </w:r>
      <w:proofErr w:type="spellStart"/>
      <w:r w:rsidR="00F53773" w:rsidRPr="008F486E">
        <w:rPr>
          <w:rFonts w:ascii="Arial" w:hAnsi="Arial" w:cs="Arial"/>
          <w:i/>
          <w:sz w:val="24"/>
          <w:szCs w:val="24"/>
        </w:rPr>
        <w:t>United</w:t>
      </w:r>
      <w:proofErr w:type="spellEnd"/>
      <w:r w:rsidR="00F53773" w:rsidRPr="008F486E">
        <w:rPr>
          <w:rFonts w:ascii="Arial" w:hAnsi="Arial" w:cs="Arial"/>
          <w:i/>
          <w:sz w:val="24"/>
          <w:szCs w:val="24"/>
        </w:rPr>
        <w:t xml:space="preserve"> </w:t>
      </w:r>
      <w:proofErr w:type="spellStart"/>
      <w:r w:rsidR="00F53773" w:rsidRPr="008F486E">
        <w:rPr>
          <w:rFonts w:ascii="Arial" w:hAnsi="Arial" w:cs="Arial"/>
          <w:i/>
          <w:sz w:val="24"/>
          <w:szCs w:val="24"/>
        </w:rPr>
        <w:t>Nations</w:t>
      </w:r>
      <w:proofErr w:type="spellEnd"/>
      <w:r w:rsidR="00F53773" w:rsidRPr="008F486E">
        <w:rPr>
          <w:rFonts w:ascii="Arial" w:hAnsi="Arial" w:cs="Arial"/>
          <w:i/>
          <w:sz w:val="24"/>
          <w:szCs w:val="24"/>
        </w:rPr>
        <w:t xml:space="preserve"> </w:t>
      </w:r>
      <w:proofErr w:type="spellStart"/>
      <w:r w:rsidR="00F53773" w:rsidRPr="008F486E">
        <w:rPr>
          <w:rFonts w:ascii="Arial" w:hAnsi="Arial" w:cs="Arial"/>
          <w:i/>
          <w:sz w:val="24"/>
          <w:szCs w:val="24"/>
        </w:rPr>
        <w:t>Spatial</w:t>
      </w:r>
      <w:proofErr w:type="spellEnd"/>
      <w:r w:rsidR="00F53773" w:rsidRPr="008F486E">
        <w:rPr>
          <w:rFonts w:ascii="Arial" w:hAnsi="Arial" w:cs="Arial"/>
          <w:i/>
          <w:sz w:val="24"/>
          <w:szCs w:val="24"/>
        </w:rPr>
        <w:t xml:space="preserve"> Data </w:t>
      </w:r>
      <w:proofErr w:type="spellStart"/>
      <w:r w:rsidR="00F53773" w:rsidRPr="008F486E">
        <w:rPr>
          <w:rFonts w:ascii="Arial" w:hAnsi="Arial" w:cs="Arial"/>
          <w:i/>
          <w:sz w:val="24"/>
          <w:szCs w:val="24"/>
        </w:rPr>
        <w:t>Infrastructure</w:t>
      </w:r>
      <w:proofErr w:type="spellEnd"/>
      <w:r w:rsidR="00770925" w:rsidRPr="008F486E">
        <w:rPr>
          <w:rFonts w:ascii="Arial" w:hAnsi="Arial" w:cs="Arial"/>
          <w:i/>
          <w:sz w:val="24"/>
          <w:szCs w:val="24"/>
        </w:rPr>
        <w:t xml:space="preserve">, </w:t>
      </w:r>
      <w:r w:rsidR="00770925" w:rsidRPr="008F486E">
        <w:rPr>
          <w:rFonts w:ascii="Arial" w:hAnsi="Arial" w:cs="Arial"/>
          <w:sz w:val="24"/>
          <w:szCs w:val="24"/>
        </w:rPr>
        <w:t>por sus siglas en inglés</w:t>
      </w:r>
      <w:r w:rsidR="00F53773" w:rsidRPr="008F486E">
        <w:rPr>
          <w:rFonts w:ascii="Arial" w:hAnsi="Arial" w:cs="Arial"/>
          <w:sz w:val="24"/>
          <w:szCs w:val="24"/>
        </w:rPr>
        <w:t>) o infraestructura de datos espaciales de las Naciones Unidas</w:t>
      </w:r>
      <w:r w:rsidR="00965510" w:rsidRPr="008F486E">
        <w:rPr>
          <w:rFonts w:ascii="Arial" w:hAnsi="Arial" w:cs="Arial"/>
          <w:sz w:val="24"/>
          <w:szCs w:val="24"/>
        </w:rPr>
        <w:t xml:space="preserve"> para la mejora de la gestión de la información global geoespacial. El UNSDI contribuye al objetivo de las Naciones Unida</w:t>
      </w:r>
      <w:r w:rsidR="00932AFF" w:rsidRPr="008F486E">
        <w:rPr>
          <w:rFonts w:ascii="Arial" w:hAnsi="Arial" w:cs="Arial"/>
          <w:sz w:val="24"/>
          <w:szCs w:val="24"/>
        </w:rPr>
        <w:t>s comprometiendo a los Estados M</w:t>
      </w:r>
      <w:r w:rsidR="00965510" w:rsidRPr="008F486E">
        <w:rPr>
          <w:rFonts w:ascii="Arial" w:hAnsi="Arial" w:cs="Arial"/>
          <w:sz w:val="24"/>
          <w:szCs w:val="24"/>
        </w:rPr>
        <w:t>iembros y organizaciones regionales y asociados a constituir mecanismos de consenso político y de gobernanza con el fin de asegurar que los datos geoespaciales y las prácticas en la información sean usadas ampliamente en una mejora o avance social, económico, de desarrollo ambiental y humanitario.</w:t>
      </w:r>
      <w:r w:rsidR="00907E8B" w:rsidRPr="008F486E">
        <w:rPr>
          <w:rFonts w:ascii="Arial" w:hAnsi="Arial" w:cs="Arial"/>
          <w:sz w:val="24"/>
          <w:szCs w:val="24"/>
        </w:rPr>
        <w:t xml:space="preserve"> </w:t>
      </w:r>
      <w:r w:rsidR="00E91452" w:rsidRPr="008F486E">
        <w:rPr>
          <w:rFonts w:ascii="Arial" w:hAnsi="Arial" w:cs="Arial"/>
          <w:b/>
          <w:i/>
          <w:sz w:val="24"/>
          <w:szCs w:val="24"/>
        </w:rPr>
        <w:t xml:space="preserve"> </w:t>
      </w:r>
    </w:p>
    <w:p w:rsidR="00907E8B" w:rsidRPr="008F486E" w:rsidRDefault="00965510" w:rsidP="008F486E">
      <w:pPr>
        <w:spacing w:line="360" w:lineRule="auto"/>
        <w:ind w:firstLine="360"/>
        <w:jc w:val="both"/>
        <w:rPr>
          <w:rFonts w:ascii="Arial" w:hAnsi="Arial" w:cs="Arial"/>
          <w:sz w:val="24"/>
          <w:szCs w:val="24"/>
        </w:rPr>
      </w:pPr>
      <w:r w:rsidRPr="008F486E">
        <w:rPr>
          <w:rFonts w:ascii="Arial" w:hAnsi="Arial" w:cs="Arial"/>
          <w:sz w:val="24"/>
          <w:szCs w:val="24"/>
        </w:rPr>
        <w:t>En su preámbulo, la D</w:t>
      </w:r>
      <w:r w:rsidR="00AA46C7" w:rsidRPr="008F486E">
        <w:rPr>
          <w:rFonts w:ascii="Arial" w:hAnsi="Arial" w:cs="Arial"/>
          <w:sz w:val="24"/>
          <w:szCs w:val="24"/>
        </w:rPr>
        <w:t>eclaración de Estambul recuerda</w:t>
      </w:r>
      <w:r w:rsidR="008A3C76" w:rsidRPr="008F486E">
        <w:rPr>
          <w:rFonts w:ascii="Arial" w:hAnsi="Arial" w:cs="Arial"/>
          <w:sz w:val="24"/>
          <w:szCs w:val="24"/>
        </w:rPr>
        <w:t xml:space="preserve"> : l</w:t>
      </w:r>
      <w:r w:rsidRPr="008F486E">
        <w:rPr>
          <w:rFonts w:ascii="Arial" w:hAnsi="Arial" w:cs="Arial"/>
          <w:sz w:val="24"/>
          <w:szCs w:val="24"/>
        </w:rPr>
        <w:t>a Resolución 2011/24 del ECOSOC</w:t>
      </w:r>
      <w:r w:rsidR="00F22111" w:rsidRPr="008F486E">
        <w:rPr>
          <w:rFonts w:ascii="Arial" w:hAnsi="Arial" w:cs="Arial"/>
          <w:sz w:val="24"/>
          <w:szCs w:val="24"/>
        </w:rPr>
        <w:t>, que reconocía la necesidad de promover la cooperación internacional en el campo de la gestión global de la información geoespacial;</w:t>
      </w:r>
      <w:r w:rsidR="008A3C76" w:rsidRPr="008F486E">
        <w:rPr>
          <w:rFonts w:ascii="Arial" w:hAnsi="Arial" w:cs="Arial"/>
          <w:sz w:val="24"/>
          <w:szCs w:val="24"/>
        </w:rPr>
        <w:t xml:space="preserve"> l</w:t>
      </w:r>
      <w:r w:rsidR="00D52DBB" w:rsidRPr="008F486E">
        <w:rPr>
          <w:rFonts w:ascii="Arial" w:hAnsi="Arial" w:cs="Arial"/>
          <w:sz w:val="24"/>
          <w:szCs w:val="24"/>
        </w:rPr>
        <w:t>a D</w:t>
      </w:r>
      <w:r w:rsidR="00F22111" w:rsidRPr="008F486E">
        <w:rPr>
          <w:rFonts w:ascii="Arial" w:hAnsi="Arial" w:cs="Arial"/>
          <w:sz w:val="24"/>
          <w:szCs w:val="24"/>
        </w:rPr>
        <w:t xml:space="preserve">eclaración de Seúl, de 26 de octubre de 2011, sobre la gestión global de la información geoespacial, que hacía un llamamiento a una práctica de cohesión de la comunidad global, promoción de estándares comunes a todos los niveles, </w:t>
      </w:r>
      <w:r w:rsidR="00F22111" w:rsidRPr="008F486E">
        <w:rPr>
          <w:rFonts w:ascii="Arial" w:hAnsi="Arial" w:cs="Arial"/>
          <w:sz w:val="24"/>
          <w:szCs w:val="24"/>
        </w:rPr>
        <w:lastRenderedPageBreak/>
        <w:t>documentación sobre las mejores prácticas y la necesidad</w:t>
      </w:r>
      <w:r w:rsidR="007A0312" w:rsidRPr="008F486E">
        <w:rPr>
          <w:rFonts w:ascii="Arial" w:hAnsi="Arial" w:cs="Arial"/>
          <w:sz w:val="24"/>
          <w:szCs w:val="24"/>
        </w:rPr>
        <w:t xml:space="preserve"> de desarroll</w:t>
      </w:r>
      <w:r w:rsidR="009F4951" w:rsidRPr="008F486E">
        <w:rPr>
          <w:rFonts w:ascii="Arial" w:hAnsi="Arial" w:cs="Arial"/>
          <w:sz w:val="24"/>
          <w:szCs w:val="24"/>
        </w:rPr>
        <w:t xml:space="preserve">o </w:t>
      </w:r>
      <w:r w:rsidR="00D95534" w:rsidRPr="008F486E">
        <w:rPr>
          <w:rFonts w:ascii="Arial" w:hAnsi="Arial" w:cs="Arial"/>
          <w:sz w:val="24"/>
          <w:szCs w:val="24"/>
        </w:rPr>
        <w:t>a nivel nacional;</w:t>
      </w:r>
      <w:r w:rsidR="008A3C76" w:rsidRPr="008F486E">
        <w:rPr>
          <w:rFonts w:ascii="Arial" w:hAnsi="Arial" w:cs="Arial"/>
          <w:sz w:val="24"/>
          <w:szCs w:val="24"/>
        </w:rPr>
        <w:t xml:space="preserve"> l</w:t>
      </w:r>
      <w:r w:rsidR="00D52DBB" w:rsidRPr="008F486E">
        <w:rPr>
          <w:rFonts w:ascii="Arial" w:hAnsi="Arial" w:cs="Arial"/>
          <w:sz w:val="24"/>
          <w:szCs w:val="24"/>
        </w:rPr>
        <w:t>a D</w:t>
      </w:r>
      <w:r w:rsidR="007A0312" w:rsidRPr="008F486E">
        <w:rPr>
          <w:rFonts w:ascii="Arial" w:hAnsi="Arial" w:cs="Arial"/>
          <w:sz w:val="24"/>
          <w:szCs w:val="24"/>
        </w:rPr>
        <w:t>eclaración de Doha sobre el avance de la gestión global de la información geoespacial, de 6 de febrero de 2013, invitando a la Comunidad Internacional a que trabaje conjuntamente bajo la coordinación de las Naciones Un</w:t>
      </w:r>
      <w:r w:rsidR="00D95534" w:rsidRPr="008F486E">
        <w:rPr>
          <w:rFonts w:ascii="Arial" w:hAnsi="Arial" w:cs="Arial"/>
          <w:sz w:val="24"/>
          <w:szCs w:val="24"/>
        </w:rPr>
        <w:t>idas;</w:t>
      </w:r>
      <w:r w:rsidR="008A3C76" w:rsidRPr="008F486E">
        <w:rPr>
          <w:rFonts w:ascii="Arial" w:hAnsi="Arial" w:cs="Arial"/>
          <w:sz w:val="24"/>
          <w:szCs w:val="24"/>
        </w:rPr>
        <w:t xml:space="preserve"> e</w:t>
      </w:r>
      <w:r w:rsidR="00D52DBB" w:rsidRPr="008F486E">
        <w:rPr>
          <w:rFonts w:ascii="Arial" w:hAnsi="Arial" w:cs="Arial"/>
          <w:sz w:val="24"/>
          <w:szCs w:val="24"/>
        </w:rPr>
        <w:t xml:space="preserve">l </w:t>
      </w:r>
      <w:r w:rsidR="007A0312" w:rsidRPr="008F486E">
        <w:rPr>
          <w:rFonts w:ascii="Arial" w:hAnsi="Arial" w:cs="Arial"/>
          <w:sz w:val="24"/>
          <w:szCs w:val="24"/>
        </w:rPr>
        <w:t xml:space="preserve">Documento Río + 20, “El futuro que queremos”, </w:t>
      </w:r>
      <w:r w:rsidR="00D52DBB" w:rsidRPr="008F486E">
        <w:rPr>
          <w:rFonts w:ascii="Arial" w:hAnsi="Arial" w:cs="Arial"/>
          <w:sz w:val="24"/>
          <w:szCs w:val="24"/>
        </w:rPr>
        <w:t xml:space="preserve">que </w:t>
      </w:r>
      <w:r w:rsidR="007A0312" w:rsidRPr="008F486E">
        <w:rPr>
          <w:rFonts w:ascii="Arial" w:hAnsi="Arial" w:cs="Arial"/>
          <w:sz w:val="24"/>
          <w:szCs w:val="24"/>
        </w:rPr>
        <w:t>ponía especial énfasis en la importancia y valor de una información geoespacial fiable para conseguir el desarrollo sostenible, la asistencia humanitaria y la reducción del riesgo de los desastres;</w:t>
      </w:r>
      <w:r w:rsidR="008A3C76" w:rsidRPr="008F486E">
        <w:rPr>
          <w:rFonts w:ascii="Arial" w:hAnsi="Arial" w:cs="Arial"/>
          <w:sz w:val="24"/>
          <w:szCs w:val="24"/>
        </w:rPr>
        <w:t xml:space="preserve"> y e</w:t>
      </w:r>
      <w:r w:rsidR="00D52DBB" w:rsidRPr="008F486E">
        <w:rPr>
          <w:rFonts w:ascii="Arial" w:hAnsi="Arial" w:cs="Arial"/>
          <w:sz w:val="24"/>
          <w:szCs w:val="24"/>
        </w:rPr>
        <w:t>l</w:t>
      </w:r>
      <w:r w:rsidR="007A0312" w:rsidRPr="008F486E">
        <w:rPr>
          <w:rFonts w:ascii="Arial" w:hAnsi="Arial" w:cs="Arial"/>
          <w:sz w:val="24"/>
          <w:szCs w:val="24"/>
        </w:rPr>
        <w:t xml:space="preserve"> In</w:t>
      </w:r>
      <w:r w:rsidR="00D52DBB" w:rsidRPr="008F486E">
        <w:rPr>
          <w:rFonts w:ascii="Arial" w:hAnsi="Arial" w:cs="Arial"/>
          <w:sz w:val="24"/>
          <w:szCs w:val="24"/>
        </w:rPr>
        <w:t>forme presentado al Secretario G</w:t>
      </w:r>
      <w:r w:rsidR="007A0312" w:rsidRPr="008F486E">
        <w:rPr>
          <w:rFonts w:ascii="Arial" w:hAnsi="Arial" w:cs="Arial"/>
          <w:sz w:val="24"/>
          <w:szCs w:val="24"/>
        </w:rPr>
        <w:t>eneral de las Naciones Unidas para la Agenda de Desarrollo posterior a 2015, “El futuro que queremos todos”</w:t>
      </w:r>
      <w:r w:rsidR="00D33915" w:rsidRPr="008F486E">
        <w:rPr>
          <w:rStyle w:val="Refdenotaalpie"/>
          <w:rFonts w:ascii="Arial" w:hAnsi="Arial" w:cs="Arial"/>
          <w:sz w:val="24"/>
          <w:szCs w:val="24"/>
        </w:rPr>
        <w:footnoteReference w:id="15"/>
      </w:r>
      <w:r w:rsidR="007A0312" w:rsidRPr="008F486E">
        <w:rPr>
          <w:rFonts w:ascii="Arial" w:hAnsi="Arial" w:cs="Arial"/>
          <w:sz w:val="24"/>
          <w:szCs w:val="24"/>
        </w:rPr>
        <w:t>, que hace un llamamiento a la mejora del acceso a la información geográfica y datos geoespaciales</w:t>
      </w:r>
      <w:r w:rsidR="0072509E" w:rsidRPr="008F486E">
        <w:rPr>
          <w:rFonts w:ascii="Arial" w:hAnsi="Arial" w:cs="Arial"/>
          <w:sz w:val="24"/>
          <w:szCs w:val="24"/>
        </w:rPr>
        <w:t>, así como a las capacidades para utilizar la info</w:t>
      </w:r>
      <w:r w:rsidR="00FE3C9C" w:rsidRPr="008F486E">
        <w:rPr>
          <w:rFonts w:ascii="Arial" w:hAnsi="Arial" w:cs="Arial"/>
          <w:sz w:val="24"/>
          <w:szCs w:val="24"/>
        </w:rPr>
        <w:t xml:space="preserve">rmación científica. El informe “El futuro que queremos todos” sirve de primera referencia para la </w:t>
      </w:r>
      <w:r w:rsidR="00FE3C9C" w:rsidRPr="008F486E">
        <w:rPr>
          <w:rFonts w:ascii="Arial" w:hAnsi="Arial" w:cs="Arial"/>
          <w:i/>
          <w:sz w:val="24"/>
          <w:szCs w:val="24"/>
        </w:rPr>
        <w:t>Agenda para el Desarrollo después de 2015</w:t>
      </w:r>
      <w:r w:rsidR="00FE3C9C" w:rsidRPr="008F486E">
        <w:rPr>
          <w:rFonts w:ascii="Arial" w:hAnsi="Arial" w:cs="Arial"/>
          <w:sz w:val="24"/>
          <w:szCs w:val="24"/>
        </w:rPr>
        <w:t>, recomendando que se mantuviera un formato basado e</w:t>
      </w:r>
      <w:r w:rsidR="00D52DBB" w:rsidRPr="008F486E">
        <w:rPr>
          <w:rFonts w:ascii="Arial" w:hAnsi="Arial" w:cs="Arial"/>
          <w:sz w:val="24"/>
          <w:szCs w:val="24"/>
        </w:rPr>
        <w:t>n objetivos y metas concretas (o</w:t>
      </w:r>
      <w:r w:rsidR="00FE3C9C" w:rsidRPr="008F486E">
        <w:rPr>
          <w:rFonts w:ascii="Arial" w:hAnsi="Arial" w:cs="Arial"/>
          <w:sz w:val="24"/>
          <w:szCs w:val="24"/>
        </w:rPr>
        <w:t>bjetivos del desarrollo del milenio) pero que se reorganizase en torno a cuatro dimensiones ese</w:t>
      </w:r>
      <w:r w:rsidR="004B7ACB" w:rsidRPr="008F486E">
        <w:rPr>
          <w:rFonts w:ascii="Arial" w:hAnsi="Arial" w:cs="Arial"/>
          <w:sz w:val="24"/>
          <w:szCs w:val="24"/>
        </w:rPr>
        <w:t>nciales de un enfoque holístico</w:t>
      </w:r>
      <w:r w:rsidR="00FE3C9C" w:rsidRPr="008F486E">
        <w:rPr>
          <w:rFonts w:ascii="Arial" w:hAnsi="Arial" w:cs="Arial"/>
          <w:sz w:val="24"/>
          <w:szCs w:val="24"/>
        </w:rPr>
        <w:t>: desarrollo social inclusivo, desarrollo económico inclusivo, sostenibilidad ambiental, paz y seguridad</w:t>
      </w:r>
      <w:r w:rsidR="00FE3C9C" w:rsidRPr="008F486E">
        <w:rPr>
          <w:rStyle w:val="Refdenotaalpie"/>
          <w:rFonts w:ascii="Arial" w:hAnsi="Arial" w:cs="Arial"/>
          <w:sz w:val="24"/>
          <w:szCs w:val="24"/>
        </w:rPr>
        <w:footnoteReference w:id="16"/>
      </w:r>
      <w:r w:rsidR="00FE3C9C" w:rsidRPr="008F486E">
        <w:rPr>
          <w:rFonts w:ascii="Arial" w:hAnsi="Arial" w:cs="Arial"/>
          <w:sz w:val="24"/>
          <w:szCs w:val="24"/>
        </w:rPr>
        <w:t>.</w:t>
      </w:r>
      <w:r w:rsidR="008C4BC2" w:rsidRPr="008F486E">
        <w:rPr>
          <w:rFonts w:ascii="Arial" w:hAnsi="Arial" w:cs="Arial"/>
          <w:sz w:val="24"/>
          <w:szCs w:val="24"/>
        </w:rPr>
        <w:t xml:space="preserve"> </w:t>
      </w:r>
    </w:p>
    <w:p w:rsidR="00D52DBB" w:rsidRPr="008F486E" w:rsidRDefault="008C4BC2" w:rsidP="008F486E">
      <w:pPr>
        <w:spacing w:line="360" w:lineRule="auto"/>
        <w:ind w:firstLine="360"/>
        <w:jc w:val="both"/>
        <w:rPr>
          <w:rFonts w:ascii="Arial" w:hAnsi="Arial" w:cs="Arial"/>
          <w:b/>
          <w:i/>
          <w:sz w:val="24"/>
          <w:szCs w:val="24"/>
        </w:rPr>
      </w:pPr>
      <w:r w:rsidRPr="008F486E">
        <w:rPr>
          <w:rFonts w:ascii="Arial" w:hAnsi="Arial" w:cs="Arial"/>
          <w:sz w:val="24"/>
          <w:szCs w:val="24"/>
        </w:rPr>
        <w:t>Los objetivos de la Declaración d</w:t>
      </w:r>
      <w:r w:rsidR="00E91452" w:rsidRPr="008F486E">
        <w:rPr>
          <w:rFonts w:ascii="Arial" w:hAnsi="Arial" w:cs="Arial"/>
          <w:sz w:val="24"/>
          <w:szCs w:val="24"/>
        </w:rPr>
        <w:t xml:space="preserve">e Estambul son los siguientes: </w:t>
      </w:r>
      <w:r w:rsidR="0072509E" w:rsidRPr="008F486E">
        <w:rPr>
          <w:rFonts w:ascii="Arial" w:hAnsi="Arial" w:cs="Arial"/>
          <w:sz w:val="24"/>
          <w:szCs w:val="24"/>
        </w:rPr>
        <w:t xml:space="preserve">Reafirmar el compromiso de trabajar conjuntamente como </w:t>
      </w:r>
      <w:proofErr w:type="spellStart"/>
      <w:r w:rsidR="0072509E" w:rsidRPr="008F486E">
        <w:rPr>
          <w:rFonts w:ascii="Arial" w:hAnsi="Arial" w:cs="Arial"/>
          <w:sz w:val="24"/>
          <w:szCs w:val="24"/>
        </w:rPr>
        <w:t>geoinformáticos</w:t>
      </w:r>
      <w:proofErr w:type="spellEnd"/>
      <w:r w:rsidR="0072509E" w:rsidRPr="008F486E">
        <w:rPr>
          <w:rFonts w:ascii="Arial" w:hAnsi="Arial" w:cs="Arial"/>
          <w:sz w:val="24"/>
          <w:szCs w:val="24"/>
        </w:rPr>
        <w:t xml:space="preserve"> profesionales desde las entidades de las Naciones Unidas y </w:t>
      </w:r>
      <w:r w:rsidR="00E91452" w:rsidRPr="008F486E">
        <w:rPr>
          <w:rFonts w:ascii="Arial" w:hAnsi="Arial" w:cs="Arial"/>
          <w:sz w:val="24"/>
          <w:szCs w:val="24"/>
        </w:rPr>
        <w:t>en asociación con sus Estados m</w:t>
      </w:r>
      <w:r w:rsidR="004B7ACB" w:rsidRPr="008F486E">
        <w:rPr>
          <w:rFonts w:ascii="Arial" w:hAnsi="Arial" w:cs="Arial"/>
          <w:sz w:val="24"/>
          <w:szCs w:val="24"/>
        </w:rPr>
        <w:t>iembros, Academia e I</w:t>
      </w:r>
      <w:r w:rsidR="0072509E" w:rsidRPr="008F486E">
        <w:rPr>
          <w:rFonts w:ascii="Arial" w:hAnsi="Arial" w:cs="Arial"/>
          <w:sz w:val="24"/>
          <w:szCs w:val="24"/>
        </w:rPr>
        <w:t>ndustria para construir una infraestructura de datos espaciales de las Naciones Unidas;</w:t>
      </w:r>
      <w:r w:rsidRPr="008F486E">
        <w:rPr>
          <w:rFonts w:ascii="Arial" w:hAnsi="Arial" w:cs="Arial"/>
          <w:sz w:val="24"/>
          <w:szCs w:val="24"/>
        </w:rPr>
        <w:t xml:space="preserve"> </w:t>
      </w:r>
      <w:r w:rsidR="0072509E" w:rsidRPr="008F486E">
        <w:rPr>
          <w:rFonts w:ascii="Arial" w:hAnsi="Arial" w:cs="Arial"/>
          <w:sz w:val="24"/>
          <w:szCs w:val="24"/>
        </w:rPr>
        <w:t xml:space="preserve">Integrar y reforzar la capacidad técnica </w:t>
      </w:r>
      <w:r w:rsidR="00D52DBB" w:rsidRPr="008F486E">
        <w:rPr>
          <w:rFonts w:ascii="Arial" w:hAnsi="Arial" w:cs="Arial"/>
          <w:sz w:val="24"/>
          <w:szCs w:val="24"/>
        </w:rPr>
        <w:t>y geoespacial del GGIM, UNGIWG y</w:t>
      </w:r>
      <w:r w:rsidR="0072509E" w:rsidRPr="008F486E">
        <w:rPr>
          <w:rFonts w:ascii="Arial" w:hAnsi="Arial" w:cs="Arial"/>
          <w:sz w:val="24"/>
          <w:szCs w:val="24"/>
        </w:rPr>
        <w:t xml:space="preserve"> UNSDI</w:t>
      </w:r>
      <w:r w:rsidR="00E91452" w:rsidRPr="008F486E">
        <w:rPr>
          <w:rFonts w:ascii="Arial" w:hAnsi="Arial" w:cs="Arial"/>
          <w:sz w:val="24"/>
          <w:szCs w:val="24"/>
        </w:rPr>
        <w:t>,</w:t>
      </w:r>
      <w:r w:rsidRPr="008F486E">
        <w:rPr>
          <w:rFonts w:ascii="Arial" w:hAnsi="Arial" w:cs="Arial"/>
          <w:sz w:val="24"/>
          <w:szCs w:val="24"/>
        </w:rPr>
        <w:t xml:space="preserve"> y </w:t>
      </w:r>
      <w:r w:rsidR="0072509E" w:rsidRPr="008F486E">
        <w:rPr>
          <w:rFonts w:ascii="Arial" w:hAnsi="Arial" w:cs="Arial"/>
          <w:sz w:val="24"/>
          <w:szCs w:val="24"/>
        </w:rPr>
        <w:t xml:space="preserve"> </w:t>
      </w:r>
      <w:r w:rsidRPr="008F486E">
        <w:rPr>
          <w:rFonts w:ascii="Arial" w:hAnsi="Arial" w:cs="Arial"/>
          <w:sz w:val="24"/>
          <w:szCs w:val="24"/>
        </w:rPr>
        <w:t xml:space="preserve"> </w:t>
      </w:r>
      <w:r w:rsidR="009F4951" w:rsidRPr="008F486E">
        <w:rPr>
          <w:rFonts w:ascii="Arial" w:hAnsi="Arial" w:cs="Arial"/>
          <w:sz w:val="24"/>
          <w:szCs w:val="24"/>
        </w:rPr>
        <w:t>Coordinarse con Comisiones importantes de Naciones Unidas, como COPUOS, con e</w:t>
      </w:r>
      <w:r w:rsidR="00E91452" w:rsidRPr="008F486E">
        <w:rPr>
          <w:rFonts w:ascii="Arial" w:hAnsi="Arial" w:cs="Arial"/>
          <w:sz w:val="24"/>
          <w:szCs w:val="24"/>
        </w:rPr>
        <w:t>l fin</w:t>
      </w:r>
      <w:r w:rsidR="00D95534" w:rsidRPr="008F486E">
        <w:rPr>
          <w:rFonts w:ascii="Arial" w:hAnsi="Arial" w:cs="Arial"/>
          <w:sz w:val="24"/>
          <w:szCs w:val="24"/>
        </w:rPr>
        <w:t xml:space="preserve"> de proporcionar a los E</w:t>
      </w:r>
      <w:r w:rsidR="00D52DBB" w:rsidRPr="008F486E">
        <w:rPr>
          <w:rFonts w:ascii="Arial" w:hAnsi="Arial" w:cs="Arial"/>
          <w:sz w:val="24"/>
          <w:szCs w:val="24"/>
        </w:rPr>
        <w:t>stados M</w:t>
      </w:r>
      <w:r w:rsidR="009F4951" w:rsidRPr="008F486E">
        <w:rPr>
          <w:rFonts w:ascii="Arial" w:hAnsi="Arial" w:cs="Arial"/>
          <w:sz w:val="24"/>
          <w:szCs w:val="24"/>
        </w:rPr>
        <w:t xml:space="preserve">iembros y los usuarios el acceso a los datos y servicios </w:t>
      </w:r>
      <w:r w:rsidR="009F4951" w:rsidRPr="008F486E">
        <w:rPr>
          <w:rFonts w:ascii="Arial" w:hAnsi="Arial" w:cs="Arial"/>
          <w:sz w:val="24"/>
          <w:szCs w:val="24"/>
        </w:rPr>
        <w:lastRenderedPageBreak/>
        <w:t>geoespaciales, en beneficio del cambio climático, reduc</w:t>
      </w:r>
      <w:r w:rsidR="00D52DBB" w:rsidRPr="008F486E">
        <w:rPr>
          <w:rFonts w:ascii="Arial" w:hAnsi="Arial" w:cs="Arial"/>
          <w:sz w:val="24"/>
          <w:szCs w:val="24"/>
        </w:rPr>
        <w:t>ción de los riesgos de desastre y</w:t>
      </w:r>
      <w:r w:rsidR="009F4951" w:rsidRPr="008F486E">
        <w:rPr>
          <w:rFonts w:ascii="Arial" w:hAnsi="Arial" w:cs="Arial"/>
          <w:sz w:val="24"/>
          <w:szCs w:val="24"/>
        </w:rPr>
        <w:t xml:space="preserve"> respuesta humanitaria, entre otros objetivos</w:t>
      </w:r>
      <w:r w:rsidR="009F4951" w:rsidRPr="008F486E">
        <w:rPr>
          <w:rStyle w:val="Refdenotaalpie"/>
          <w:rFonts w:ascii="Arial" w:hAnsi="Arial" w:cs="Arial"/>
          <w:sz w:val="24"/>
          <w:szCs w:val="24"/>
        </w:rPr>
        <w:footnoteReference w:id="17"/>
      </w:r>
      <w:r w:rsidR="009F4951" w:rsidRPr="008F486E">
        <w:rPr>
          <w:rFonts w:ascii="Arial" w:hAnsi="Arial" w:cs="Arial"/>
          <w:sz w:val="24"/>
          <w:szCs w:val="24"/>
        </w:rPr>
        <w:t>.</w:t>
      </w:r>
    </w:p>
    <w:p w:rsidR="00907E8B" w:rsidRPr="008F486E" w:rsidRDefault="00907E8B" w:rsidP="008F486E">
      <w:pPr>
        <w:spacing w:line="360" w:lineRule="auto"/>
        <w:ind w:firstLine="360"/>
        <w:jc w:val="both"/>
        <w:rPr>
          <w:rFonts w:ascii="Arial" w:hAnsi="Arial" w:cs="Arial"/>
          <w:b/>
          <w:i/>
          <w:sz w:val="24"/>
          <w:szCs w:val="24"/>
        </w:rPr>
      </w:pPr>
    </w:p>
    <w:p w:rsidR="0072509E" w:rsidRPr="008F486E" w:rsidRDefault="00932AFF" w:rsidP="008F486E">
      <w:pPr>
        <w:pStyle w:val="Prrafodelista"/>
        <w:numPr>
          <w:ilvl w:val="2"/>
          <w:numId w:val="4"/>
        </w:numPr>
        <w:spacing w:line="360" w:lineRule="auto"/>
        <w:jc w:val="both"/>
        <w:rPr>
          <w:rFonts w:ascii="Arial" w:hAnsi="Arial" w:cs="Arial"/>
          <w:b/>
          <w:i/>
          <w:sz w:val="24"/>
          <w:szCs w:val="24"/>
        </w:rPr>
      </w:pPr>
      <w:r w:rsidRPr="008F486E">
        <w:rPr>
          <w:rFonts w:ascii="Arial" w:hAnsi="Arial" w:cs="Arial"/>
          <w:b/>
          <w:i/>
          <w:sz w:val="24"/>
          <w:szCs w:val="24"/>
        </w:rPr>
        <w:t xml:space="preserve">     </w:t>
      </w:r>
      <w:r w:rsidR="006C5DB9" w:rsidRPr="008F486E">
        <w:rPr>
          <w:rFonts w:ascii="Arial" w:hAnsi="Arial" w:cs="Arial"/>
          <w:b/>
          <w:i/>
          <w:sz w:val="24"/>
          <w:szCs w:val="24"/>
        </w:rPr>
        <w:t>COPUOS</w:t>
      </w:r>
      <w:r w:rsidR="007F4C42" w:rsidRPr="008F486E">
        <w:rPr>
          <w:rFonts w:ascii="Arial" w:hAnsi="Arial" w:cs="Arial"/>
          <w:b/>
          <w:i/>
          <w:sz w:val="24"/>
          <w:szCs w:val="24"/>
        </w:rPr>
        <w:t xml:space="preserve"> </w:t>
      </w:r>
    </w:p>
    <w:p w:rsidR="006C5DB9" w:rsidRPr="008F486E" w:rsidRDefault="006C5DB9" w:rsidP="008F486E">
      <w:pPr>
        <w:spacing w:line="360" w:lineRule="auto"/>
        <w:ind w:firstLine="360"/>
        <w:jc w:val="both"/>
        <w:rPr>
          <w:rFonts w:ascii="Arial" w:hAnsi="Arial" w:cs="Arial"/>
          <w:sz w:val="24"/>
          <w:szCs w:val="24"/>
        </w:rPr>
      </w:pPr>
      <w:r w:rsidRPr="008F486E">
        <w:rPr>
          <w:rFonts w:ascii="Arial" w:hAnsi="Arial" w:cs="Arial"/>
          <w:sz w:val="24"/>
          <w:szCs w:val="24"/>
        </w:rPr>
        <w:t>COPUOS</w:t>
      </w:r>
      <w:r w:rsidR="007F4C42" w:rsidRPr="008F486E">
        <w:rPr>
          <w:rFonts w:ascii="Arial" w:hAnsi="Arial" w:cs="Arial"/>
          <w:sz w:val="24"/>
          <w:szCs w:val="24"/>
        </w:rPr>
        <w:t xml:space="preserve"> (</w:t>
      </w:r>
      <w:proofErr w:type="spellStart"/>
      <w:r w:rsidR="007F4C42" w:rsidRPr="008F486E">
        <w:rPr>
          <w:rFonts w:ascii="Arial" w:hAnsi="Arial" w:cs="Arial"/>
          <w:i/>
          <w:sz w:val="24"/>
          <w:szCs w:val="24"/>
        </w:rPr>
        <w:t>Commitee</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on</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Peaceful</w:t>
      </w:r>
      <w:proofErr w:type="spellEnd"/>
      <w:r w:rsidR="007F4C42" w:rsidRPr="008F486E">
        <w:rPr>
          <w:rFonts w:ascii="Arial" w:hAnsi="Arial" w:cs="Arial"/>
          <w:i/>
          <w:sz w:val="24"/>
          <w:szCs w:val="24"/>
        </w:rPr>
        <w:t xml:space="preserve"> Uses of </w:t>
      </w:r>
      <w:proofErr w:type="spellStart"/>
      <w:r w:rsidR="007F4C42" w:rsidRPr="008F486E">
        <w:rPr>
          <w:rFonts w:ascii="Arial" w:hAnsi="Arial" w:cs="Arial"/>
          <w:i/>
          <w:sz w:val="24"/>
          <w:szCs w:val="24"/>
        </w:rPr>
        <w:t>Outer</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Space</w:t>
      </w:r>
      <w:proofErr w:type="spellEnd"/>
      <w:r w:rsidR="007F4C42" w:rsidRPr="008F486E">
        <w:rPr>
          <w:rFonts w:ascii="Arial" w:hAnsi="Arial" w:cs="Arial"/>
          <w:sz w:val="24"/>
          <w:szCs w:val="24"/>
        </w:rPr>
        <w:t>) o Comisión sobre</w:t>
      </w:r>
      <w:r w:rsidR="00D52DBB" w:rsidRPr="008F486E">
        <w:rPr>
          <w:rFonts w:ascii="Arial" w:hAnsi="Arial" w:cs="Arial"/>
          <w:sz w:val="24"/>
          <w:szCs w:val="24"/>
        </w:rPr>
        <w:t xml:space="preserve"> la</w:t>
      </w:r>
      <w:r w:rsidR="007F4C42" w:rsidRPr="008F486E">
        <w:rPr>
          <w:rFonts w:ascii="Arial" w:hAnsi="Arial" w:cs="Arial"/>
          <w:sz w:val="24"/>
          <w:szCs w:val="24"/>
        </w:rPr>
        <w:t xml:space="preserve"> Utilización Pacífica del Espaci</w:t>
      </w:r>
      <w:r w:rsidR="00D52DBB" w:rsidRPr="008F486E">
        <w:rPr>
          <w:rFonts w:ascii="Arial" w:hAnsi="Arial" w:cs="Arial"/>
          <w:sz w:val="24"/>
          <w:szCs w:val="24"/>
        </w:rPr>
        <w:t>o Ultraterrestre fue establecida</w:t>
      </w:r>
      <w:r w:rsidR="007F4C42" w:rsidRPr="008F486E">
        <w:rPr>
          <w:rFonts w:ascii="Arial" w:hAnsi="Arial" w:cs="Arial"/>
          <w:sz w:val="24"/>
          <w:szCs w:val="24"/>
        </w:rPr>
        <w:t xml:space="preserve"> por la Asamblea General de </w:t>
      </w:r>
      <w:r w:rsidR="00D52DBB" w:rsidRPr="008F486E">
        <w:rPr>
          <w:rFonts w:ascii="Arial" w:hAnsi="Arial" w:cs="Arial"/>
          <w:sz w:val="24"/>
          <w:szCs w:val="24"/>
        </w:rPr>
        <w:t>las Naciones Unidas</w:t>
      </w:r>
      <w:r w:rsidR="00B63C9C" w:rsidRPr="008F486E">
        <w:rPr>
          <w:rFonts w:ascii="Arial" w:hAnsi="Arial" w:cs="Arial"/>
          <w:sz w:val="24"/>
          <w:szCs w:val="24"/>
        </w:rPr>
        <w:t>,</w:t>
      </w:r>
      <w:r w:rsidR="00D52DBB" w:rsidRPr="008F486E">
        <w:rPr>
          <w:rFonts w:ascii="Arial" w:hAnsi="Arial" w:cs="Arial"/>
          <w:sz w:val="24"/>
          <w:szCs w:val="24"/>
        </w:rPr>
        <w:t xml:space="preserve"> en 1959</w:t>
      </w:r>
      <w:r w:rsidR="00B63C9C" w:rsidRPr="008F486E">
        <w:rPr>
          <w:rFonts w:ascii="Arial" w:hAnsi="Arial" w:cs="Arial"/>
          <w:sz w:val="24"/>
          <w:szCs w:val="24"/>
        </w:rPr>
        <w:t xml:space="preserve">, </w:t>
      </w:r>
      <w:r w:rsidR="00D52DBB" w:rsidRPr="008F486E">
        <w:rPr>
          <w:rFonts w:ascii="Arial" w:hAnsi="Arial" w:cs="Arial"/>
          <w:sz w:val="24"/>
          <w:szCs w:val="24"/>
        </w:rPr>
        <w:t xml:space="preserve"> con el fin de</w:t>
      </w:r>
      <w:r w:rsidR="007F4C42" w:rsidRPr="008F486E">
        <w:rPr>
          <w:rFonts w:ascii="Arial" w:hAnsi="Arial" w:cs="Arial"/>
          <w:sz w:val="24"/>
          <w:szCs w:val="24"/>
        </w:rPr>
        <w:t xml:space="preserve"> regir la exploración y utilización del espacio ultraterrestre para el</w:t>
      </w:r>
      <w:r w:rsidR="004B7ACB" w:rsidRPr="008F486E">
        <w:rPr>
          <w:rFonts w:ascii="Arial" w:hAnsi="Arial" w:cs="Arial"/>
          <w:sz w:val="24"/>
          <w:szCs w:val="24"/>
        </w:rPr>
        <w:t xml:space="preserve"> beneficio de toda la humanidad</w:t>
      </w:r>
      <w:r w:rsidR="00E91452" w:rsidRPr="008F486E">
        <w:rPr>
          <w:rFonts w:ascii="Arial" w:hAnsi="Arial" w:cs="Arial"/>
          <w:sz w:val="24"/>
          <w:szCs w:val="24"/>
        </w:rPr>
        <w:t xml:space="preserve"> en sus tres ejes principales, la</w:t>
      </w:r>
      <w:r w:rsidR="00D52DBB" w:rsidRPr="008F486E">
        <w:rPr>
          <w:rFonts w:ascii="Arial" w:hAnsi="Arial" w:cs="Arial"/>
          <w:sz w:val="24"/>
          <w:szCs w:val="24"/>
        </w:rPr>
        <w:t xml:space="preserve"> </w:t>
      </w:r>
      <w:r w:rsidR="007F4C42" w:rsidRPr="008F486E">
        <w:rPr>
          <w:rFonts w:ascii="Arial" w:hAnsi="Arial" w:cs="Arial"/>
          <w:sz w:val="24"/>
          <w:szCs w:val="24"/>
        </w:rPr>
        <w:t>paz,</w:t>
      </w:r>
      <w:r w:rsidR="00E91452" w:rsidRPr="008F486E">
        <w:rPr>
          <w:rFonts w:ascii="Arial" w:hAnsi="Arial" w:cs="Arial"/>
          <w:sz w:val="24"/>
          <w:szCs w:val="24"/>
        </w:rPr>
        <w:t xml:space="preserve"> la </w:t>
      </w:r>
      <w:r w:rsidR="007F4C42" w:rsidRPr="008F486E">
        <w:rPr>
          <w:rFonts w:ascii="Arial" w:hAnsi="Arial" w:cs="Arial"/>
          <w:sz w:val="24"/>
          <w:szCs w:val="24"/>
        </w:rPr>
        <w:t>seguridad y</w:t>
      </w:r>
      <w:r w:rsidR="00E91452" w:rsidRPr="008F486E">
        <w:rPr>
          <w:rFonts w:ascii="Arial" w:hAnsi="Arial" w:cs="Arial"/>
          <w:sz w:val="24"/>
          <w:szCs w:val="24"/>
        </w:rPr>
        <w:t xml:space="preserve"> el</w:t>
      </w:r>
      <w:r w:rsidR="007F4C42" w:rsidRPr="008F486E">
        <w:rPr>
          <w:rFonts w:ascii="Arial" w:hAnsi="Arial" w:cs="Arial"/>
          <w:sz w:val="24"/>
          <w:szCs w:val="24"/>
        </w:rPr>
        <w:t xml:space="preserve"> desarrollo. COPUOS tiene la tarea de revisar la cooperación internacional en la utilización pacífica del espacio ultraterrestre, el estudio de actividades relacionadas con el espacio que puedan ser emprendidas por las Naciones Unidas, fomentar programas de investigación espacial y estudiar aquellos problemas jurídicos que surjan de la exploración y utilización del espacio ultraterrestre, la Luna y otros cuerpos celestes.</w:t>
      </w:r>
      <w:r w:rsidR="001A1E9C" w:rsidRPr="008F486E">
        <w:rPr>
          <w:rFonts w:ascii="Arial" w:hAnsi="Arial" w:cs="Arial"/>
          <w:sz w:val="24"/>
          <w:szCs w:val="24"/>
        </w:rPr>
        <w:t xml:space="preserve"> La Comisión cuen</w:t>
      </w:r>
      <w:r w:rsidR="004B7ACB" w:rsidRPr="008F486E">
        <w:rPr>
          <w:rFonts w:ascii="Arial" w:hAnsi="Arial" w:cs="Arial"/>
          <w:sz w:val="24"/>
          <w:szCs w:val="24"/>
        </w:rPr>
        <w:t>ta con dos órganos subsidiarios: la Subcomisión T</w:t>
      </w:r>
      <w:r w:rsidR="001A1E9C" w:rsidRPr="008F486E">
        <w:rPr>
          <w:rFonts w:ascii="Arial" w:hAnsi="Arial" w:cs="Arial"/>
          <w:sz w:val="24"/>
          <w:szCs w:val="24"/>
        </w:rPr>
        <w:t>écnico-</w:t>
      </w:r>
      <w:r w:rsidR="004B7ACB" w:rsidRPr="008F486E">
        <w:rPr>
          <w:rFonts w:ascii="Arial" w:hAnsi="Arial" w:cs="Arial"/>
          <w:sz w:val="24"/>
          <w:szCs w:val="24"/>
        </w:rPr>
        <w:t>Científica y la Subcomisión J</w:t>
      </w:r>
      <w:r w:rsidR="001A1E9C" w:rsidRPr="008F486E">
        <w:rPr>
          <w:rFonts w:ascii="Arial" w:hAnsi="Arial" w:cs="Arial"/>
          <w:sz w:val="24"/>
          <w:szCs w:val="24"/>
        </w:rPr>
        <w:t>urídica, establecidas en 1961 y con sede en Viena.</w:t>
      </w:r>
    </w:p>
    <w:p w:rsidR="007F4C42" w:rsidRPr="008F486E" w:rsidRDefault="00665064" w:rsidP="008F486E">
      <w:pPr>
        <w:spacing w:line="360" w:lineRule="auto"/>
        <w:ind w:firstLine="360"/>
        <w:jc w:val="both"/>
        <w:rPr>
          <w:rFonts w:ascii="Arial" w:hAnsi="Arial" w:cs="Arial"/>
          <w:sz w:val="24"/>
          <w:szCs w:val="24"/>
        </w:rPr>
      </w:pPr>
      <w:r w:rsidRPr="008F486E">
        <w:rPr>
          <w:rFonts w:ascii="Arial" w:hAnsi="Arial" w:cs="Arial"/>
          <w:sz w:val="24"/>
          <w:szCs w:val="24"/>
        </w:rPr>
        <w:t>COPUOS es atendida</w:t>
      </w:r>
      <w:r w:rsidR="007F4C42" w:rsidRPr="008F486E">
        <w:rPr>
          <w:rFonts w:ascii="Arial" w:hAnsi="Arial" w:cs="Arial"/>
          <w:sz w:val="24"/>
          <w:szCs w:val="24"/>
        </w:rPr>
        <w:t xml:space="preserve"> por la </w:t>
      </w:r>
      <w:proofErr w:type="spellStart"/>
      <w:r w:rsidR="007F4C42" w:rsidRPr="008F486E">
        <w:rPr>
          <w:rFonts w:ascii="Arial" w:hAnsi="Arial" w:cs="Arial"/>
          <w:i/>
          <w:sz w:val="24"/>
          <w:szCs w:val="24"/>
        </w:rPr>
        <w:t>United</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Nations</w:t>
      </w:r>
      <w:proofErr w:type="spellEnd"/>
      <w:r w:rsidR="00BF5FD0" w:rsidRPr="008F486E">
        <w:rPr>
          <w:rFonts w:ascii="Arial" w:hAnsi="Arial" w:cs="Arial"/>
          <w:i/>
          <w:sz w:val="24"/>
          <w:szCs w:val="24"/>
        </w:rPr>
        <w:t xml:space="preserve"> </w:t>
      </w:r>
      <w:proofErr w:type="spellStart"/>
      <w:r w:rsidR="00BF5FD0" w:rsidRPr="008F486E">
        <w:rPr>
          <w:rFonts w:ascii="Arial" w:hAnsi="Arial" w:cs="Arial"/>
          <w:i/>
          <w:sz w:val="24"/>
          <w:szCs w:val="24"/>
        </w:rPr>
        <w:t>Officce</w:t>
      </w:r>
      <w:proofErr w:type="spellEnd"/>
      <w:r w:rsidR="00BF5FD0" w:rsidRPr="008F486E">
        <w:rPr>
          <w:rFonts w:ascii="Arial" w:hAnsi="Arial" w:cs="Arial"/>
          <w:i/>
          <w:sz w:val="24"/>
          <w:szCs w:val="24"/>
        </w:rPr>
        <w:t xml:space="preserve"> </w:t>
      </w:r>
      <w:proofErr w:type="spellStart"/>
      <w:r w:rsidR="00BF5FD0" w:rsidRPr="008F486E">
        <w:rPr>
          <w:rFonts w:ascii="Arial" w:hAnsi="Arial" w:cs="Arial"/>
          <w:i/>
          <w:sz w:val="24"/>
          <w:szCs w:val="24"/>
        </w:rPr>
        <w:t>for</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Outer</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Space</w:t>
      </w:r>
      <w:proofErr w:type="spellEnd"/>
      <w:r w:rsidR="007F4C42" w:rsidRPr="008F486E">
        <w:rPr>
          <w:rFonts w:ascii="Arial" w:hAnsi="Arial" w:cs="Arial"/>
          <w:i/>
          <w:sz w:val="24"/>
          <w:szCs w:val="24"/>
        </w:rPr>
        <w:t xml:space="preserve"> </w:t>
      </w:r>
      <w:proofErr w:type="spellStart"/>
      <w:r w:rsidR="007F4C42" w:rsidRPr="008F486E">
        <w:rPr>
          <w:rFonts w:ascii="Arial" w:hAnsi="Arial" w:cs="Arial"/>
          <w:i/>
          <w:sz w:val="24"/>
          <w:szCs w:val="24"/>
        </w:rPr>
        <w:t>Affairs</w:t>
      </w:r>
      <w:proofErr w:type="spellEnd"/>
      <w:r w:rsidR="00E11D77" w:rsidRPr="008F486E">
        <w:rPr>
          <w:rFonts w:ascii="Arial" w:hAnsi="Arial" w:cs="Arial"/>
          <w:sz w:val="24"/>
          <w:szCs w:val="24"/>
        </w:rPr>
        <w:t xml:space="preserve"> (</w:t>
      </w:r>
      <w:r w:rsidR="00E11D77" w:rsidRPr="008F486E">
        <w:rPr>
          <w:rFonts w:ascii="Arial" w:hAnsi="Arial" w:cs="Arial"/>
          <w:i/>
          <w:sz w:val="24"/>
          <w:szCs w:val="24"/>
        </w:rPr>
        <w:t>UNOOSA</w:t>
      </w:r>
      <w:r w:rsidR="00013890" w:rsidRPr="008F486E">
        <w:rPr>
          <w:rFonts w:ascii="Arial" w:hAnsi="Arial" w:cs="Arial"/>
          <w:sz w:val="24"/>
          <w:szCs w:val="24"/>
        </w:rPr>
        <w:t xml:space="preserve"> por sus siglas en inglés</w:t>
      </w:r>
      <w:r w:rsidR="00E11D77" w:rsidRPr="008F486E">
        <w:rPr>
          <w:rFonts w:ascii="Arial" w:hAnsi="Arial" w:cs="Arial"/>
          <w:sz w:val="24"/>
          <w:szCs w:val="24"/>
        </w:rPr>
        <w:t>) u O</w:t>
      </w:r>
      <w:r w:rsidR="00BF5FD0" w:rsidRPr="008F486E">
        <w:rPr>
          <w:rFonts w:ascii="Arial" w:hAnsi="Arial" w:cs="Arial"/>
          <w:sz w:val="24"/>
          <w:szCs w:val="24"/>
        </w:rPr>
        <w:t>ficina de las Naciones Unidas para Asuntos del Espacio Ultraterr</w:t>
      </w:r>
      <w:r w:rsidR="00E11D77" w:rsidRPr="008F486E">
        <w:rPr>
          <w:rFonts w:ascii="Arial" w:hAnsi="Arial" w:cs="Arial"/>
          <w:sz w:val="24"/>
          <w:szCs w:val="24"/>
        </w:rPr>
        <w:t>estre, constituida en 1962, con la tarea de</w:t>
      </w:r>
      <w:r w:rsidR="00BF5FD0" w:rsidRPr="008F486E">
        <w:rPr>
          <w:rFonts w:ascii="Arial" w:hAnsi="Arial" w:cs="Arial"/>
          <w:sz w:val="24"/>
          <w:szCs w:val="24"/>
        </w:rPr>
        <w:t xml:space="preserve"> prestar apoyo al trabajo de la Comisión y dar cumplimiento a un amplio programa que cubre los aspectos jurídicos, científicos y políticos de las actividades relacionadas con el espacio</w:t>
      </w:r>
      <w:r w:rsidR="00BF5FD0" w:rsidRPr="008F486E">
        <w:rPr>
          <w:rStyle w:val="Refdenotaalpie"/>
          <w:rFonts w:ascii="Arial" w:hAnsi="Arial" w:cs="Arial"/>
          <w:sz w:val="24"/>
          <w:szCs w:val="24"/>
        </w:rPr>
        <w:footnoteReference w:id="18"/>
      </w:r>
      <w:r w:rsidR="00BF5FD0" w:rsidRPr="008F486E">
        <w:rPr>
          <w:rFonts w:ascii="Arial" w:hAnsi="Arial" w:cs="Arial"/>
          <w:sz w:val="24"/>
          <w:szCs w:val="24"/>
        </w:rPr>
        <w:t>. Ubicada en la sede de Naciones Unidas en Viena, es la encargada de mantener el Registro Internacional de la ONU de los objetos lanzados al espacio ultraterrestre.</w:t>
      </w:r>
    </w:p>
    <w:p w:rsidR="009725B6" w:rsidRPr="008F486E" w:rsidRDefault="00E11D77" w:rsidP="008F486E">
      <w:pPr>
        <w:spacing w:line="360" w:lineRule="auto"/>
        <w:ind w:firstLine="360"/>
        <w:jc w:val="both"/>
        <w:rPr>
          <w:rFonts w:ascii="Arial" w:hAnsi="Arial" w:cs="Arial"/>
          <w:sz w:val="24"/>
          <w:szCs w:val="24"/>
        </w:rPr>
      </w:pPr>
      <w:r w:rsidRPr="008F486E">
        <w:rPr>
          <w:rFonts w:ascii="Arial" w:hAnsi="Arial" w:cs="Arial"/>
          <w:sz w:val="24"/>
          <w:szCs w:val="24"/>
        </w:rPr>
        <w:t>Tanto COPUOS como la S</w:t>
      </w:r>
      <w:r w:rsidR="00AC0096" w:rsidRPr="008F486E">
        <w:rPr>
          <w:rFonts w:ascii="Arial" w:hAnsi="Arial" w:cs="Arial"/>
          <w:sz w:val="24"/>
          <w:szCs w:val="24"/>
        </w:rPr>
        <w:t>ubco</w:t>
      </w:r>
      <w:r w:rsidRPr="008F486E">
        <w:rPr>
          <w:rFonts w:ascii="Arial" w:hAnsi="Arial" w:cs="Arial"/>
          <w:sz w:val="24"/>
          <w:szCs w:val="24"/>
        </w:rPr>
        <w:t>misión técnico-científica y la S</w:t>
      </w:r>
      <w:r w:rsidR="00AC0096" w:rsidRPr="008F486E">
        <w:rPr>
          <w:rFonts w:ascii="Arial" w:hAnsi="Arial" w:cs="Arial"/>
          <w:sz w:val="24"/>
          <w:szCs w:val="24"/>
        </w:rPr>
        <w:t>ubcomisión jurídica se reúnen anualmente, cada una por separado y en épocas distinta</w:t>
      </w:r>
      <w:r w:rsidR="004B7ACB" w:rsidRPr="008F486E">
        <w:rPr>
          <w:rFonts w:ascii="Arial" w:hAnsi="Arial" w:cs="Arial"/>
          <w:sz w:val="24"/>
          <w:szCs w:val="24"/>
        </w:rPr>
        <w:t>s del año en Viena. La Comisión</w:t>
      </w:r>
      <w:r w:rsidR="00AC0096" w:rsidRPr="008F486E">
        <w:rPr>
          <w:rFonts w:ascii="Arial" w:hAnsi="Arial" w:cs="Arial"/>
          <w:sz w:val="24"/>
          <w:szCs w:val="24"/>
        </w:rPr>
        <w:t xml:space="preserve">, en calidad de órgano subsidiario de la Asamblea General de las Naciones Unidas, da cuenta de los resultados de sus </w:t>
      </w:r>
      <w:r w:rsidR="00AC0096" w:rsidRPr="008F486E">
        <w:rPr>
          <w:rFonts w:ascii="Arial" w:hAnsi="Arial" w:cs="Arial"/>
          <w:sz w:val="24"/>
          <w:szCs w:val="24"/>
        </w:rPr>
        <w:lastRenderedPageBreak/>
        <w:t xml:space="preserve">sesiones a la Cuarta Comisión de la </w:t>
      </w:r>
      <w:r w:rsidRPr="008F486E">
        <w:rPr>
          <w:rFonts w:ascii="Arial" w:hAnsi="Arial" w:cs="Arial"/>
          <w:sz w:val="24"/>
          <w:szCs w:val="24"/>
        </w:rPr>
        <w:t>Asamblea General de las Naciones Unidas</w:t>
      </w:r>
      <w:r w:rsidR="00AC0096" w:rsidRPr="008F486E">
        <w:rPr>
          <w:rFonts w:ascii="Arial" w:hAnsi="Arial" w:cs="Arial"/>
          <w:sz w:val="24"/>
          <w:szCs w:val="24"/>
        </w:rPr>
        <w:t xml:space="preserve"> “Comisión de Política Especial y de Descolonización” con el objeto de analizar todos los temas que, más tarde, se aprueban en el Plenario de la AGNU</w:t>
      </w:r>
      <w:r w:rsidR="001A1E9C" w:rsidRPr="008F486E">
        <w:rPr>
          <w:rStyle w:val="Refdenotaalpie"/>
          <w:rFonts w:ascii="Arial" w:hAnsi="Arial" w:cs="Arial"/>
          <w:sz w:val="24"/>
          <w:szCs w:val="24"/>
        </w:rPr>
        <w:footnoteReference w:id="19"/>
      </w:r>
      <w:r w:rsidR="00AC0096" w:rsidRPr="008F486E">
        <w:rPr>
          <w:rFonts w:ascii="Arial" w:hAnsi="Arial" w:cs="Arial"/>
          <w:sz w:val="24"/>
          <w:szCs w:val="24"/>
        </w:rPr>
        <w:t>.</w:t>
      </w:r>
      <w:r w:rsidR="001A1E9C" w:rsidRPr="008F486E">
        <w:rPr>
          <w:rFonts w:ascii="Arial" w:hAnsi="Arial" w:cs="Arial"/>
          <w:sz w:val="24"/>
          <w:szCs w:val="24"/>
        </w:rPr>
        <w:t xml:space="preserve"> Como consecuencia de este proceso, la AGNU adopta una resolución anual sobre cooperación internacional en la utilización del espacio ultraterrestre con fines pacíficos.</w:t>
      </w:r>
    </w:p>
    <w:p w:rsidR="00A65C34" w:rsidRPr="008F486E" w:rsidRDefault="009725B6" w:rsidP="008F486E">
      <w:pPr>
        <w:spacing w:line="360" w:lineRule="auto"/>
        <w:ind w:firstLine="360"/>
        <w:jc w:val="both"/>
        <w:rPr>
          <w:rFonts w:ascii="Arial" w:hAnsi="Arial" w:cs="Arial"/>
          <w:sz w:val="24"/>
          <w:szCs w:val="24"/>
        </w:rPr>
      </w:pPr>
      <w:r w:rsidRPr="008F486E">
        <w:rPr>
          <w:rFonts w:ascii="Arial" w:hAnsi="Arial" w:cs="Arial"/>
          <w:sz w:val="24"/>
          <w:szCs w:val="24"/>
        </w:rPr>
        <w:t>A continuación examinare</w:t>
      </w:r>
      <w:r w:rsidR="00FE3C9C" w:rsidRPr="008F486E">
        <w:rPr>
          <w:rFonts w:ascii="Arial" w:hAnsi="Arial" w:cs="Arial"/>
          <w:sz w:val="24"/>
          <w:szCs w:val="24"/>
        </w:rPr>
        <w:t>mos</w:t>
      </w:r>
      <w:r w:rsidR="00D60ADF" w:rsidRPr="008F486E">
        <w:rPr>
          <w:rStyle w:val="Refdenotaalpie"/>
          <w:rFonts w:ascii="Arial" w:hAnsi="Arial" w:cs="Arial"/>
          <w:sz w:val="24"/>
          <w:szCs w:val="24"/>
        </w:rPr>
        <w:footnoteReference w:id="20"/>
      </w:r>
      <w:r w:rsidR="00FE3C9C" w:rsidRPr="008F486E">
        <w:rPr>
          <w:rFonts w:ascii="Arial" w:hAnsi="Arial" w:cs="Arial"/>
          <w:sz w:val="24"/>
          <w:szCs w:val="24"/>
        </w:rPr>
        <w:t xml:space="preserve"> la Resolución de la </w:t>
      </w:r>
      <w:r w:rsidR="00FE3C9C" w:rsidRPr="008F486E">
        <w:rPr>
          <w:rFonts w:ascii="Arial" w:hAnsi="Arial" w:cs="Arial"/>
          <w:i/>
          <w:sz w:val="24"/>
          <w:szCs w:val="24"/>
        </w:rPr>
        <w:t xml:space="preserve">AGNU </w:t>
      </w:r>
      <w:r w:rsidRPr="008F486E">
        <w:rPr>
          <w:rFonts w:ascii="Arial" w:hAnsi="Arial" w:cs="Arial"/>
          <w:i/>
          <w:sz w:val="24"/>
          <w:szCs w:val="24"/>
        </w:rPr>
        <w:t>A/RES/69/85</w:t>
      </w:r>
      <w:r w:rsidRPr="008F486E">
        <w:rPr>
          <w:rFonts w:ascii="Arial" w:hAnsi="Arial" w:cs="Arial"/>
          <w:sz w:val="24"/>
          <w:szCs w:val="24"/>
        </w:rPr>
        <w:t>, de 16 de diciembre de 2014</w:t>
      </w:r>
      <w:r w:rsidR="00FE3C9C" w:rsidRPr="008F486E">
        <w:rPr>
          <w:rFonts w:ascii="Arial" w:hAnsi="Arial" w:cs="Arial"/>
          <w:sz w:val="24"/>
          <w:szCs w:val="24"/>
        </w:rPr>
        <w:t>, como ejemplo de los varios temas a tratar</w:t>
      </w:r>
      <w:r w:rsidR="00A042F9" w:rsidRPr="008F486E">
        <w:rPr>
          <w:rFonts w:ascii="Arial" w:hAnsi="Arial" w:cs="Arial"/>
          <w:sz w:val="24"/>
          <w:szCs w:val="24"/>
        </w:rPr>
        <w:t xml:space="preserve"> y que son parte del proceso de globaliza</w:t>
      </w:r>
      <w:r w:rsidR="00B63C9C" w:rsidRPr="008F486E">
        <w:rPr>
          <w:rFonts w:ascii="Arial" w:hAnsi="Arial" w:cs="Arial"/>
          <w:sz w:val="24"/>
          <w:szCs w:val="24"/>
        </w:rPr>
        <w:t xml:space="preserve">ción de los Estados destacando </w:t>
      </w:r>
      <w:r w:rsidR="00A042F9" w:rsidRPr="008F486E">
        <w:rPr>
          <w:rFonts w:ascii="Arial" w:hAnsi="Arial" w:cs="Arial"/>
          <w:sz w:val="24"/>
          <w:szCs w:val="24"/>
        </w:rPr>
        <w:t>el importante avance en el desarrollo de la ciencia y la tecnología espaciales y sus aplicaciones</w:t>
      </w:r>
      <w:r w:rsidR="009A15D8" w:rsidRPr="008F486E">
        <w:rPr>
          <w:rFonts w:ascii="Arial" w:hAnsi="Arial" w:cs="Arial"/>
          <w:sz w:val="24"/>
          <w:szCs w:val="24"/>
        </w:rPr>
        <w:t>,</w:t>
      </w:r>
      <w:r w:rsidR="00A042F9" w:rsidRPr="008F486E">
        <w:rPr>
          <w:rFonts w:ascii="Arial" w:hAnsi="Arial" w:cs="Arial"/>
          <w:sz w:val="24"/>
          <w:szCs w:val="24"/>
        </w:rPr>
        <w:t xml:space="preserve"> que ha permitido al ser humano explorar el universo y los extraordinarios logros en las actividades de exploración espacial incluido el conocimiento cada vez más p</w:t>
      </w:r>
      <w:r w:rsidR="00B63C9C" w:rsidRPr="008F486E">
        <w:rPr>
          <w:rFonts w:ascii="Arial" w:hAnsi="Arial" w:cs="Arial"/>
          <w:sz w:val="24"/>
          <w:szCs w:val="24"/>
        </w:rPr>
        <w:t>rofundo de nuestro sistema solar</w:t>
      </w:r>
      <w:r w:rsidR="00A042F9" w:rsidRPr="008F486E">
        <w:rPr>
          <w:rFonts w:ascii="Arial" w:hAnsi="Arial" w:cs="Arial"/>
          <w:sz w:val="24"/>
          <w:szCs w:val="24"/>
        </w:rPr>
        <w:t>, en la utilización de la ciencia y la tecnología espaciales en beneficio de toda la humanidad y en el desarrollo del régimen jurídico internacional que rige las actividades espaciales y reconociendo la plataforma única a nivel internacional para la cooperación internacional en actividades espaciales que representa COPUOS y sus órganos subsidiarios, con la asistencia de</w:t>
      </w:r>
      <w:r w:rsidR="007463F9" w:rsidRPr="008F486E">
        <w:rPr>
          <w:rFonts w:ascii="Arial" w:hAnsi="Arial" w:cs="Arial"/>
          <w:sz w:val="24"/>
          <w:szCs w:val="24"/>
        </w:rPr>
        <w:t xml:space="preserve"> </w:t>
      </w:r>
      <w:r w:rsidR="007463F9" w:rsidRPr="008F486E">
        <w:rPr>
          <w:rFonts w:ascii="Arial" w:hAnsi="Arial" w:cs="Arial"/>
          <w:i/>
          <w:sz w:val="24"/>
          <w:szCs w:val="24"/>
        </w:rPr>
        <w:t>UNOOSA</w:t>
      </w:r>
      <w:r w:rsidR="00A042F9" w:rsidRPr="008F486E">
        <w:rPr>
          <w:rFonts w:ascii="Arial" w:hAnsi="Arial" w:cs="Arial"/>
          <w:i/>
          <w:sz w:val="24"/>
          <w:szCs w:val="24"/>
        </w:rPr>
        <w:t xml:space="preserve"> </w:t>
      </w:r>
      <w:r w:rsidR="007463F9" w:rsidRPr="008F486E">
        <w:rPr>
          <w:rFonts w:ascii="Arial" w:hAnsi="Arial" w:cs="Arial"/>
          <w:sz w:val="24"/>
          <w:szCs w:val="24"/>
        </w:rPr>
        <w:t xml:space="preserve">. </w:t>
      </w:r>
    </w:p>
    <w:p w:rsidR="004E7A85" w:rsidRPr="008F486E" w:rsidRDefault="007463F9" w:rsidP="008F486E">
      <w:pPr>
        <w:spacing w:line="360" w:lineRule="auto"/>
        <w:ind w:firstLine="360"/>
        <w:jc w:val="both"/>
        <w:rPr>
          <w:rFonts w:ascii="Arial" w:hAnsi="Arial" w:cs="Arial"/>
          <w:i/>
          <w:sz w:val="24"/>
          <w:szCs w:val="24"/>
        </w:rPr>
      </w:pPr>
      <w:r w:rsidRPr="008F486E">
        <w:rPr>
          <w:rFonts w:ascii="Arial" w:hAnsi="Arial" w:cs="Arial"/>
          <w:sz w:val="24"/>
          <w:szCs w:val="24"/>
        </w:rPr>
        <w:t xml:space="preserve">La </w:t>
      </w:r>
      <w:r w:rsidRPr="008F486E">
        <w:rPr>
          <w:rFonts w:ascii="Arial" w:hAnsi="Arial" w:cs="Arial"/>
          <w:i/>
          <w:sz w:val="24"/>
          <w:szCs w:val="24"/>
        </w:rPr>
        <w:t>Asamblea General de las Naciones Unidas: e</w:t>
      </w:r>
      <w:r w:rsidR="00CA4344" w:rsidRPr="008F486E">
        <w:rPr>
          <w:rFonts w:ascii="Arial" w:hAnsi="Arial" w:cs="Arial"/>
          <w:i/>
          <w:sz w:val="24"/>
          <w:szCs w:val="24"/>
        </w:rPr>
        <w:t>stá convencida de</w:t>
      </w:r>
      <w:r w:rsidR="00CA4344" w:rsidRPr="008F486E">
        <w:rPr>
          <w:rFonts w:ascii="Arial" w:hAnsi="Arial" w:cs="Arial"/>
          <w:sz w:val="24"/>
          <w:szCs w:val="24"/>
        </w:rPr>
        <w:t xml:space="preserve"> </w:t>
      </w:r>
      <w:r w:rsidR="00CA4344" w:rsidRPr="008F486E">
        <w:rPr>
          <w:rFonts w:ascii="Arial" w:hAnsi="Arial" w:cs="Arial"/>
          <w:i/>
          <w:sz w:val="24"/>
          <w:szCs w:val="24"/>
        </w:rPr>
        <w:t>que</w:t>
      </w:r>
      <w:r w:rsidR="005F4368" w:rsidRPr="008F486E">
        <w:rPr>
          <w:rFonts w:ascii="Arial" w:hAnsi="Arial" w:cs="Arial"/>
          <w:i/>
          <w:sz w:val="24"/>
          <w:szCs w:val="24"/>
        </w:rPr>
        <w:t xml:space="preserve"> la ci</w:t>
      </w:r>
      <w:r w:rsidR="00CA4344" w:rsidRPr="008F486E">
        <w:rPr>
          <w:rFonts w:ascii="Arial" w:hAnsi="Arial" w:cs="Arial"/>
          <w:i/>
          <w:sz w:val="24"/>
          <w:szCs w:val="24"/>
        </w:rPr>
        <w:t>encia y la tecnología espacial</w:t>
      </w:r>
      <w:r w:rsidR="005F4368" w:rsidRPr="008F486E">
        <w:rPr>
          <w:rFonts w:ascii="Arial" w:hAnsi="Arial" w:cs="Arial"/>
          <w:i/>
          <w:sz w:val="24"/>
          <w:szCs w:val="24"/>
        </w:rPr>
        <w:t xml:space="preserve"> y sus aplicaciones, como las comunicaciones por satélite, los sistemas de observación de la Tierra y las tecnologías de navegación por satélite, ofrecen instrumentos indispensables para encontrar soluciones</w:t>
      </w:r>
      <w:r w:rsidR="00CA4344" w:rsidRPr="008F486E">
        <w:rPr>
          <w:rFonts w:ascii="Arial" w:hAnsi="Arial" w:cs="Arial"/>
          <w:i/>
          <w:sz w:val="24"/>
          <w:szCs w:val="24"/>
        </w:rPr>
        <w:t xml:space="preserve"> viables a largo plazo para fomentar el desarrollo de todos los países y regiones del mundo. </w:t>
      </w:r>
      <w:r w:rsidR="00CA4344" w:rsidRPr="008F486E">
        <w:rPr>
          <w:rFonts w:ascii="Arial" w:hAnsi="Arial" w:cs="Arial"/>
          <w:sz w:val="24"/>
          <w:szCs w:val="24"/>
        </w:rPr>
        <w:t>En este sentido se destaca</w:t>
      </w:r>
      <w:r w:rsidR="009A15D8" w:rsidRPr="008F486E">
        <w:rPr>
          <w:rFonts w:ascii="Arial" w:hAnsi="Arial" w:cs="Arial"/>
          <w:sz w:val="24"/>
          <w:szCs w:val="24"/>
        </w:rPr>
        <w:t>n</w:t>
      </w:r>
      <w:r w:rsidR="00CA4344" w:rsidRPr="008F486E">
        <w:rPr>
          <w:rFonts w:ascii="Arial" w:hAnsi="Arial" w:cs="Arial"/>
          <w:sz w:val="24"/>
          <w:szCs w:val="24"/>
        </w:rPr>
        <w:t xml:space="preserve"> los progresos continuos del Comité Internacional sobre los Sistemas Mundiales de Navegación por Satélite para lograr la compatibilidad e </w:t>
      </w:r>
      <w:proofErr w:type="spellStart"/>
      <w:r w:rsidR="00CA4344" w:rsidRPr="008F486E">
        <w:rPr>
          <w:rFonts w:ascii="Arial" w:hAnsi="Arial" w:cs="Arial"/>
          <w:sz w:val="24"/>
          <w:szCs w:val="24"/>
        </w:rPr>
        <w:t>interoperatividad</w:t>
      </w:r>
      <w:proofErr w:type="spellEnd"/>
      <w:r w:rsidR="00CA4344" w:rsidRPr="008F486E">
        <w:rPr>
          <w:rFonts w:ascii="Arial" w:hAnsi="Arial" w:cs="Arial"/>
          <w:sz w:val="24"/>
          <w:szCs w:val="24"/>
        </w:rPr>
        <w:t xml:space="preserve"> de los sistemas espaciales mundiales y regionales de determinación de la posición, navegación, cronometría y para promover el uso de los sistemas mundiales de navegación por satélite y su integración en la infraestructura nacional, particularmente en </w:t>
      </w:r>
      <w:r w:rsidR="00CA4344" w:rsidRPr="008F486E">
        <w:rPr>
          <w:rFonts w:ascii="Arial" w:hAnsi="Arial" w:cs="Arial"/>
          <w:sz w:val="24"/>
          <w:szCs w:val="24"/>
        </w:rPr>
        <w:lastRenderedPageBreak/>
        <w:t>los países en desarrollo.</w:t>
      </w:r>
      <w:r w:rsidR="00F97447" w:rsidRPr="008F486E">
        <w:rPr>
          <w:rFonts w:ascii="Arial" w:hAnsi="Arial" w:cs="Arial"/>
          <w:sz w:val="24"/>
          <w:szCs w:val="24"/>
        </w:rPr>
        <w:t xml:space="preserve"> La </w:t>
      </w:r>
      <w:proofErr w:type="spellStart"/>
      <w:r w:rsidR="00F97447" w:rsidRPr="008F486E">
        <w:rPr>
          <w:rFonts w:ascii="Arial" w:hAnsi="Arial" w:cs="Arial"/>
          <w:sz w:val="24"/>
          <w:szCs w:val="24"/>
        </w:rPr>
        <w:t>teleobservación</w:t>
      </w:r>
      <w:proofErr w:type="spellEnd"/>
      <w:r w:rsidR="00F97447" w:rsidRPr="008F486E">
        <w:rPr>
          <w:rFonts w:ascii="Arial" w:hAnsi="Arial" w:cs="Arial"/>
          <w:sz w:val="24"/>
          <w:szCs w:val="24"/>
        </w:rPr>
        <w:t xml:space="preserve"> es esencial para comprender mejor los parámetros terrestres, oceánicos y climáticos a escala mundial y constituye la base de las observaciones a largo plazo por los sistemas mundiales de observación.</w:t>
      </w:r>
    </w:p>
    <w:p w:rsidR="005950AD" w:rsidRPr="008F486E" w:rsidRDefault="004E7A85" w:rsidP="008F486E">
      <w:pPr>
        <w:spacing w:line="360" w:lineRule="auto"/>
        <w:ind w:firstLine="360"/>
        <w:jc w:val="both"/>
        <w:rPr>
          <w:rFonts w:ascii="Arial" w:hAnsi="Arial" w:cs="Arial"/>
          <w:i/>
          <w:sz w:val="24"/>
          <w:szCs w:val="24"/>
        </w:rPr>
      </w:pPr>
      <w:r w:rsidRPr="008F486E">
        <w:rPr>
          <w:rFonts w:ascii="Arial" w:hAnsi="Arial" w:cs="Arial"/>
          <w:i/>
          <w:sz w:val="24"/>
          <w:szCs w:val="24"/>
        </w:rPr>
        <w:t>Seriamente preocupada por el efecto devastador de los desastres y deseosa de intensificar la coordinación y cooperación internacional en todo el mundo en materia de gestión de desastres y respuestas de emergencia aumentando el acceso de todos los países a los servicios basados en información obtenida desde el espacio y a la información geoespacial</w:t>
      </w:r>
      <w:r w:rsidRPr="008F486E">
        <w:rPr>
          <w:rFonts w:ascii="Arial" w:hAnsi="Arial" w:cs="Arial"/>
          <w:sz w:val="24"/>
          <w:szCs w:val="24"/>
        </w:rPr>
        <w:t>. Combinando los enfoques regional y mundial, la Plataforma de las Naciones Unidas de Información obtenida desde el espacio para la gestión de los desastres y la respuesta de emergencia (</w:t>
      </w:r>
      <w:r w:rsidRPr="008F486E">
        <w:rPr>
          <w:rFonts w:ascii="Arial" w:hAnsi="Arial" w:cs="Arial"/>
          <w:i/>
          <w:sz w:val="24"/>
          <w:szCs w:val="24"/>
        </w:rPr>
        <w:t>ONU-SPIDER</w:t>
      </w:r>
      <w:r w:rsidRPr="008F486E">
        <w:rPr>
          <w:rFonts w:ascii="Arial" w:hAnsi="Arial" w:cs="Arial"/>
          <w:sz w:val="24"/>
          <w:szCs w:val="24"/>
        </w:rPr>
        <w:t>) a través de sus conferencias, cursos prácticos y reuniones temática</w:t>
      </w:r>
      <w:r w:rsidR="00F97447" w:rsidRPr="008F486E">
        <w:rPr>
          <w:rFonts w:ascii="Arial" w:hAnsi="Arial" w:cs="Arial"/>
          <w:sz w:val="24"/>
          <w:szCs w:val="24"/>
        </w:rPr>
        <w:t>s de expertos, permitirá a los E</w:t>
      </w:r>
      <w:r w:rsidRPr="008F486E">
        <w:rPr>
          <w:rFonts w:ascii="Arial" w:hAnsi="Arial" w:cs="Arial"/>
          <w:sz w:val="24"/>
          <w:szCs w:val="24"/>
        </w:rPr>
        <w:t>stados miembros obtener información sobre nuevos métodos</w:t>
      </w:r>
      <w:r w:rsidR="00940D1D" w:rsidRPr="008F486E">
        <w:rPr>
          <w:rFonts w:ascii="Arial" w:hAnsi="Arial" w:cs="Arial"/>
          <w:sz w:val="24"/>
          <w:szCs w:val="24"/>
        </w:rPr>
        <w:t xml:space="preserve"> innovadores, las mejores prácticas y las posibilidades de acceder a recursos obtenidos por satélite.</w:t>
      </w:r>
    </w:p>
    <w:p w:rsidR="00325055" w:rsidRPr="008F486E" w:rsidRDefault="005950AD" w:rsidP="008F486E">
      <w:pPr>
        <w:spacing w:line="360" w:lineRule="auto"/>
        <w:ind w:firstLine="360"/>
        <w:jc w:val="both"/>
        <w:rPr>
          <w:rFonts w:ascii="Arial" w:hAnsi="Arial" w:cs="Arial"/>
          <w:i/>
          <w:sz w:val="24"/>
          <w:szCs w:val="24"/>
        </w:rPr>
      </w:pPr>
      <w:r w:rsidRPr="008F486E">
        <w:rPr>
          <w:rFonts w:ascii="Arial" w:hAnsi="Arial" w:cs="Arial"/>
          <w:i/>
          <w:sz w:val="24"/>
          <w:szCs w:val="24"/>
        </w:rPr>
        <w:t>Cree en la necesidad de sacar mayor provecho de la tecnología espacial y sus aplicaciones y de contar con la expansión sistemática de las actividades espaciales que propicien el crecimiento económico sostenido</w:t>
      </w:r>
      <w:r w:rsidRPr="008F486E">
        <w:rPr>
          <w:rFonts w:ascii="Arial" w:hAnsi="Arial" w:cs="Arial"/>
          <w:sz w:val="24"/>
          <w:szCs w:val="24"/>
        </w:rPr>
        <w:t xml:space="preserve"> y </w:t>
      </w:r>
      <w:r w:rsidRPr="008F486E">
        <w:rPr>
          <w:rFonts w:ascii="Arial" w:hAnsi="Arial" w:cs="Arial"/>
          <w:i/>
          <w:sz w:val="24"/>
          <w:szCs w:val="24"/>
        </w:rPr>
        <w:t>el desa</w:t>
      </w:r>
      <w:r w:rsidR="007463F9" w:rsidRPr="008F486E">
        <w:rPr>
          <w:rFonts w:ascii="Arial" w:hAnsi="Arial" w:cs="Arial"/>
          <w:i/>
          <w:sz w:val="24"/>
          <w:szCs w:val="24"/>
        </w:rPr>
        <w:t>rrollo sostenible de todos los p</w:t>
      </w:r>
      <w:r w:rsidRPr="008F486E">
        <w:rPr>
          <w:rFonts w:ascii="Arial" w:hAnsi="Arial" w:cs="Arial"/>
          <w:i/>
          <w:sz w:val="24"/>
          <w:szCs w:val="24"/>
        </w:rPr>
        <w:t xml:space="preserve">aíses y sirvan para afianzar la infraestructura sostenible de datos espaciales en los planos regional y mundial y para </w:t>
      </w:r>
      <w:r w:rsidRPr="008F486E">
        <w:rPr>
          <w:rFonts w:ascii="Arial" w:hAnsi="Arial" w:cs="Arial"/>
          <w:sz w:val="24"/>
          <w:szCs w:val="24"/>
        </w:rPr>
        <w:t xml:space="preserve">crear </w:t>
      </w:r>
      <w:r w:rsidRPr="008F486E">
        <w:rPr>
          <w:rFonts w:ascii="Arial" w:hAnsi="Arial" w:cs="Arial"/>
          <w:i/>
          <w:sz w:val="24"/>
          <w:szCs w:val="24"/>
        </w:rPr>
        <w:t>resil</w:t>
      </w:r>
      <w:r w:rsidR="009A15D8" w:rsidRPr="008F486E">
        <w:rPr>
          <w:rFonts w:ascii="Arial" w:hAnsi="Arial" w:cs="Arial"/>
          <w:i/>
          <w:sz w:val="24"/>
          <w:szCs w:val="24"/>
        </w:rPr>
        <w:t>i</w:t>
      </w:r>
      <w:r w:rsidRPr="008F486E">
        <w:rPr>
          <w:rFonts w:ascii="Arial" w:hAnsi="Arial" w:cs="Arial"/>
          <w:i/>
          <w:sz w:val="24"/>
          <w:szCs w:val="24"/>
        </w:rPr>
        <w:t>encia a fin de reducir las consecuencias de los desastres, particularmente en los países en desarrollo</w:t>
      </w:r>
      <w:r w:rsidRPr="008F486E">
        <w:rPr>
          <w:rFonts w:ascii="Arial" w:hAnsi="Arial" w:cs="Arial"/>
          <w:sz w:val="24"/>
          <w:szCs w:val="24"/>
        </w:rPr>
        <w:t xml:space="preserve">. </w:t>
      </w:r>
      <w:r w:rsidR="00F97447" w:rsidRPr="008F486E">
        <w:rPr>
          <w:rFonts w:ascii="Arial" w:hAnsi="Arial" w:cs="Arial"/>
          <w:sz w:val="24"/>
          <w:szCs w:val="24"/>
        </w:rPr>
        <w:t>En cuanto a la resil</w:t>
      </w:r>
      <w:r w:rsidR="008A3C76" w:rsidRPr="008F486E">
        <w:rPr>
          <w:rFonts w:ascii="Arial" w:hAnsi="Arial" w:cs="Arial"/>
          <w:sz w:val="24"/>
          <w:szCs w:val="24"/>
        </w:rPr>
        <w:t>i</w:t>
      </w:r>
      <w:r w:rsidR="00F97447" w:rsidRPr="008F486E">
        <w:rPr>
          <w:rFonts w:ascii="Arial" w:hAnsi="Arial" w:cs="Arial"/>
          <w:sz w:val="24"/>
          <w:szCs w:val="24"/>
        </w:rPr>
        <w:t>encia, los datos geoespaciales son un instrumento esencial a la hora de adoptar decisiones para gestionar de un modo eficiente</w:t>
      </w:r>
      <w:r w:rsidR="00D60ADF" w:rsidRPr="008F486E">
        <w:rPr>
          <w:rFonts w:ascii="Arial" w:hAnsi="Arial" w:cs="Arial"/>
          <w:sz w:val="24"/>
          <w:szCs w:val="24"/>
        </w:rPr>
        <w:t xml:space="preserve"> los activos, los retornos y las comunidades, pero existen estrangulamientos y lagunas en lo que respecta al acceso a esos datos y a su interpretación, análisis y utilización, ya que en la actualida</w:t>
      </w:r>
      <w:r w:rsidR="00BF46B5" w:rsidRPr="008F486E">
        <w:rPr>
          <w:rFonts w:ascii="Arial" w:hAnsi="Arial" w:cs="Arial"/>
          <w:sz w:val="24"/>
          <w:szCs w:val="24"/>
        </w:rPr>
        <w:t>d principalmente los suministra</w:t>
      </w:r>
      <w:r w:rsidR="00D60ADF" w:rsidRPr="008F486E">
        <w:rPr>
          <w:rFonts w:ascii="Arial" w:hAnsi="Arial" w:cs="Arial"/>
          <w:sz w:val="24"/>
          <w:szCs w:val="24"/>
        </w:rPr>
        <w:t xml:space="preserve"> el sector privado, las administraciones públicas y los organismos especializados. En el sistema de las Naciones Unidas se está haciendo todo lo posible por aumentar y racionalizar la utilización de datos geoespaciales a través de contratos marco con el sector privado y el intercambio de </w:t>
      </w:r>
      <w:r w:rsidR="009A15D8" w:rsidRPr="008F486E">
        <w:rPr>
          <w:rFonts w:ascii="Arial" w:hAnsi="Arial" w:cs="Arial"/>
          <w:sz w:val="24"/>
          <w:szCs w:val="24"/>
        </w:rPr>
        <w:t>información y datos de Estados m</w:t>
      </w:r>
      <w:r w:rsidR="00D60ADF" w:rsidRPr="008F486E">
        <w:rPr>
          <w:rFonts w:ascii="Arial" w:hAnsi="Arial" w:cs="Arial"/>
          <w:sz w:val="24"/>
          <w:szCs w:val="24"/>
        </w:rPr>
        <w:t>iembros así como el Centro de Satélites de la Unión Europea.</w:t>
      </w:r>
    </w:p>
    <w:p w:rsidR="009D45FF" w:rsidRPr="008F486E" w:rsidRDefault="00325055" w:rsidP="008F486E">
      <w:pPr>
        <w:spacing w:line="360" w:lineRule="auto"/>
        <w:ind w:firstLine="360"/>
        <w:jc w:val="both"/>
        <w:rPr>
          <w:rFonts w:ascii="Arial" w:hAnsi="Arial" w:cs="Arial"/>
          <w:i/>
          <w:sz w:val="24"/>
          <w:szCs w:val="24"/>
        </w:rPr>
      </w:pPr>
      <w:r w:rsidRPr="008F486E">
        <w:rPr>
          <w:rFonts w:ascii="Arial" w:hAnsi="Arial" w:cs="Arial"/>
          <w:i/>
          <w:sz w:val="24"/>
          <w:szCs w:val="24"/>
        </w:rPr>
        <w:lastRenderedPageBreak/>
        <w:t>Preocupada por los efectos devastadores de las en</w:t>
      </w:r>
      <w:r w:rsidR="007463F9" w:rsidRPr="008F486E">
        <w:rPr>
          <w:rFonts w:ascii="Arial" w:hAnsi="Arial" w:cs="Arial"/>
          <w:i/>
          <w:sz w:val="24"/>
          <w:szCs w:val="24"/>
        </w:rPr>
        <w:t xml:space="preserve">fermedades infecciosas como el </w:t>
      </w:r>
      <w:proofErr w:type="spellStart"/>
      <w:r w:rsidR="007463F9" w:rsidRPr="008F486E">
        <w:rPr>
          <w:rFonts w:ascii="Arial" w:hAnsi="Arial" w:cs="Arial"/>
          <w:i/>
          <w:sz w:val="24"/>
          <w:szCs w:val="24"/>
        </w:rPr>
        <w:t>É</w:t>
      </w:r>
      <w:r w:rsidRPr="008F486E">
        <w:rPr>
          <w:rFonts w:ascii="Arial" w:hAnsi="Arial" w:cs="Arial"/>
          <w:i/>
          <w:sz w:val="24"/>
          <w:szCs w:val="24"/>
        </w:rPr>
        <w:t>bola</w:t>
      </w:r>
      <w:proofErr w:type="spellEnd"/>
      <w:r w:rsidRPr="008F486E">
        <w:rPr>
          <w:rFonts w:ascii="Arial" w:hAnsi="Arial" w:cs="Arial"/>
          <w:i/>
          <w:sz w:val="24"/>
          <w:szCs w:val="24"/>
        </w:rPr>
        <w:t>, que van en detrimento de la vida humana, la sociedad y el desarrollo, e instando a la comunidad internacional, instituciones científicas y académicas, a que realicen estudios sobre la tele</w:t>
      </w:r>
      <w:r w:rsidR="00500A4A" w:rsidRPr="008F486E">
        <w:rPr>
          <w:rFonts w:ascii="Arial" w:hAnsi="Arial" w:cs="Arial"/>
          <w:i/>
          <w:sz w:val="24"/>
          <w:szCs w:val="24"/>
        </w:rPr>
        <w:t>-</w:t>
      </w:r>
      <w:r w:rsidRPr="008F486E">
        <w:rPr>
          <w:rFonts w:ascii="Arial" w:hAnsi="Arial" w:cs="Arial"/>
          <w:i/>
          <w:sz w:val="24"/>
          <w:szCs w:val="24"/>
        </w:rPr>
        <w:t>epidemiología en las actividades de seguimiento, preparación y respuesta.</w:t>
      </w:r>
      <w:r w:rsidR="00500A4A" w:rsidRPr="008F486E">
        <w:rPr>
          <w:rFonts w:ascii="Arial" w:hAnsi="Arial" w:cs="Arial"/>
          <w:i/>
          <w:sz w:val="24"/>
          <w:szCs w:val="24"/>
        </w:rPr>
        <w:t xml:space="preserve"> </w:t>
      </w:r>
      <w:r w:rsidR="00500A4A" w:rsidRPr="008F486E">
        <w:rPr>
          <w:rFonts w:ascii="Arial" w:hAnsi="Arial" w:cs="Arial"/>
          <w:sz w:val="24"/>
          <w:szCs w:val="24"/>
        </w:rPr>
        <w:t xml:space="preserve">La </w:t>
      </w:r>
      <w:proofErr w:type="spellStart"/>
      <w:r w:rsidR="00500A4A" w:rsidRPr="008F486E">
        <w:rPr>
          <w:rFonts w:ascii="Arial" w:hAnsi="Arial" w:cs="Arial"/>
          <w:sz w:val="24"/>
          <w:szCs w:val="24"/>
        </w:rPr>
        <w:t>teleepidemiología</w:t>
      </w:r>
      <w:proofErr w:type="spellEnd"/>
      <w:r w:rsidR="00500A4A" w:rsidRPr="008F486E">
        <w:rPr>
          <w:rFonts w:ascii="Arial" w:hAnsi="Arial" w:cs="Arial"/>
          <w:sz w:val="24"/>
          <w:szCs w:val="24"/>
        </w:rPr>
        <w:t xml:space="preserve"> utiliza información procedente de plataformas satelitales para investigar y pronosticar brotes y la reaparición de enfermedades</w:t>
      </w:r>
      <w:r w:rsidR="00433148" w:rsidRPr="008F486E">
        <w:rPr>
          <w:rFonts w:ascii="Arial" w:hAnsi="Arial" w:cs="Arial"/>
          <w:sz w:val="24"/>
          <w:szCs w:val="24"/>
        </w:rPr>
        <w:t xml:space="preserve"> infecciosas. El uso de la </w:t>
      </w:r>
      <w:proofErr w:type="spellStart"/>
      <w:r w:rsidR="00433148" w:rsidRPr="008F486E">
        <w:rPr>
          <w:rFonts w:ascii="Arial" w:hAnsi="Arial" w:cs="Arial"/>
          <w:sz w:val="24"/>
          <w:szCs w:val="24"/>
        </w:rPr>
        <w:t>tele</w:t>
      </w:r>
      <w:r w:rsidR="00500A4A" w:rsidRPr="008F486E">
        <w:rPr>
          <w:rFonts w:ascii="Arial" w:hAnsi="Arial" w:cs="Arial"/>
          <w:sz w:val="24"/>
          <w:szCs w:val="24"/>
        </w:rPr>
        <w:t>observación</w:t>
      </w:r>
      <w:proofErr w:type="spellEnd"/>
      <w:r w:rsidR="00500A4A" w:rsidRPr="008F486E">
        <w:rPr>
          <w:rFonts w:ascii="Arial" w:hAnsi="Arial" w:cs="Arial"/>
          <w:sz w:val="24"/>
          <w:szCs w:val="24"/>
        </w:rPr>
        <w:t xml:space="preserve"> ha hecho progresar la posibilidad de rastrear y visualizar la evolución en tiempo real de brotes y epidemias, así como la infraestructura de salud pública de importancia crítica facilitando estrategias actuales de vacunación</w:t>
      </w:r>
      <w:r w:rsidR="00500A4A" w:rsidRPr="008F486E">
        <w:rPr>
          <w:rStyle w:val="Refdenotaalpie"/>
          <w:rFonts w:ascii="Arial" w:hAnsi="Arial" w:cs="Arial"/>
          <w:sz w:val="24"/>
          <w:szCs w:val="24"/>
        </w:rPr>
        <w:footnoteReference w:id="21"/>
      </w:r>
      <w:r w:rsidR="00500A4A" w:rsidRPr="008F486E">
        <w:rPr>
          <w:rFonts w:ascii="Arial" w:hAnsi="Arial" w:cs="Arial"/>
          <w:sz w:val="24"/>
          <w:szCs w:val="24"/>
        </w:rPr>
        <w:t>. La información derivada de los satélites meteorológicos y de observación de la Tierra, en combinación con las tecnologías de información geográfica</w:t>
      </w:r>
      <w:r w:rsidR="009B3DBE" w:rsidRPr="008F486E">
        <w:rPr>
          <w:rFonts w:ascii="Arial" w:hAnsi="Arial" w:cs="Arial"/>
          <w:sz w:val="24"/>
          <w:szCs w:val="24"/>
        </w:rPr>
        <w:t xml:space="preserve"> y de navegación por satélite, se ha venido utilizando cada vez más para estudiar la epidemiología de las enfermedades, la tele-salud y la telemedicina</w:t>
      </w:r>
      <w:r w:rsidR="00086113" w:rsidRPr="008F486E">
        <w:rPr>
          <w:rStyle w:val="Refdenotaalpie"/>
          <w:rFonts w:ascii="Arial" w:hAnsi="Arial" w:cs="Arial"/>
          <w:sz w:val="24"/>
          <w:szCs w:val="24"/>
        </w:rPr>
        <w:footnoteReference w:id="22"/>
      </w:r>
      <w:r w:rsidR="009B3DBE" w:rsidRPr="008F486E">
        <w:rPr>
          <w:rFonts w:ascii="Arial" w:hAnsi="Arial" w:cs="Arial"/>
          <w:sz w:val="24"/>
          <w:szCs w:val="24"/>
        </w:rPr>
        <w:t>.</w:t>
      </w:r>
      <w:r w:rsidR="00C06BC1" w:rsidRPr="008F486E">
        <w:rPr>
          <w:rFonts w:ascii="Arial" w:hAnsi="Arial" w:cs="Arial"/>
          <w:sz w:val="24"/>
          <w:szCs w:val="24"/>
        </w:rPr>
        <w:t xml:space="preserve"> Con el término </w:t>
      </w:r>
      <w:proofErr w:type="spellStart"/>
      <w:r w:rsidR="00C06BC1" w:rsidRPr="008F486E">
        <w:rPr>
          <w:rFonts w:ascii="Arial" w:hAnsi="Arial" w:cs="Arial"/>
          <w:sz w:val="24"/>
          <w:szCs w:val="24"/>
        </w:rPr>
        <w:t>cibersalud</w:t>
      </w:r>
      <w:proofErr w:type="spellEnd"/>
      <w:r w:rsidR="00C06BC1" w:rsidRPr="008F486E">
        <w:rPr>
          <w:rFonts w:ascii="Arial" w:hAnsi="Arial" w:cs="Arial"/>
          <w:sz w:val="24"/>
          <w:szCs w:val="24"/>
        </w:rPr>
        <w:t xml:space="preserve"> se hace referencia a toda la información d</w:t>
      </w:r>
      <w:r w:rsidR="00433148" w:rsidRPr="008F486E">
        <w:rPr>
          <w:rFonts w:ascii="Arial" w:hAnsi="Arial" w:cs="Arial"/>
          <w:sz w:val="24"/>
          <w:szCs w:val="24"/>
        </w:rPr>
        <w:t>igital relacionada con la salud</w:t>
      </w:r>
      <w:r w:rsidR="00BF46B5" w:rsidRPr="008F486E">
        <w:rPr>
          <w:rFonts w:ascii="Arial" w:hAnsi="Arial" w:cs="Arial"/>
          <w:sz w:val="24"/>
          <w:szCs w:val="24"/>
        </w:rPr>
        <w:t xml:space="preserve">: la telemedicina, las </w:t>
      </w:r>
      <w:proofErr w:type="spellStart"/>
      <w:r w:rsidR="00BF46B5" w:rsidRPr="008F486E">
        <w:rPr>
          <w:rFonts w:ascii="Arial" w:hAnsi="Arial" w:cs="Arial"/>
          <w:sz w:val="24"/>
          <w:szCs w:val="24"/>
        </w:rPr>
        <w:t>tele</w:t>
      </w:r>
      <w:r w:rsidR="00C06BC1" w:rsidRPr="008F486E">
        <w:rPr>
          <w:rFonts w:ascii="Arial" w:hAnsi="Arial" w:cs="Arial"/>
          <w:sz w:val="24"/>
          <w:szCs w:val="24"/>
        </w:rPr>
        <w:t>consultas</w:t>
      </w:r>
      <w:proofErr w:type="spellEnd"/>
      <w:r w:rsidR="00C06BC1" w:rsidRPr="008F486E">
        <w:rPr>
          <w:rFonts w:ascii="Arial" w:hAnsi="Arial" w:cs="Arial"/>
          <w:sz w:val="24"/>
          <w:szCs w:val="24"/>
        </w:rPr>
        <w:t>, las historias clínicas electrónicas, las recetas electrónicas y la generación de imágenes con ayuda de computadoras</w:t>
      </w:r>
      <w:r w:rsidR="00C06BC1" w:rsidRPr="008F486E">
        <w:rPr>
          <w:rStyle w:val="Refdenotaalpie"/>
          <w:rFonts w:ascii="Arial" w:hAnsi="Arial" w:cs="Arial"/>
          <w:sz w:val="24"/>
          <w:szCs w:val="24"/>
        </w:rPr>
        <w:footnoteReference w:id="23"/>
      </w:r>
      <w:r w:rsidR="00C06BC1" w:rsidRPr="008F486E">
        <w:rPr>
          <w:rFonts w:ascii="Arial" w:hAnsi="Arial" w:cs="Arial"/>
          <w:sz w:val="24"/>
          <w:szCs w:val="24"/>
        </w:rPr>
        <w:t xml:space="preserve">. La </w:t>
      </w:r>
      <w:proofErr w:type="spellStart"/>
      <w:r w:rsidR="00433148" w:rsidRPr="008F486E">
        <w:rPr>
          <w:rFonts w:ascii="Arial" w:hAnsi="Arial" w:cs="Arial"/>
          <w:sz w:val="24"/>
          <w:szCs w:val="24"/>
        </w:rPr>
        <w:t>tele</w:t>
      </w:r>
      <w:r w:rsidR="00C06BC1" w:rsidRPr="008F486E">
        <w:rPr>
          <w:rFonts w:ascii="Arial" w:hAnsi="Arial" w:cs="Arial"/>
          <w:sz w:val="24"/>
          <w:szCs w:val="24"/>
        </w:rPr>
        <w:t>salud</w:t>
      </w:r>
      <w:proofErr w:type="spellEnd"/>
      <w:r w:rsidR="00C06BC1" w:rsidRPr="008F486E">
        <w:rPr>
          <w:rFonts w:ascii="Arial" w:hAnsi="Arial" w:cs="Arial"/>
          <w:sz w:val="24"/>
          <w:szCs w:val="24"/>
        </w:rPr>
        <w:t xml:space="preserve"> y la telemedicina</w:t>
      </w:r>
      <w:r w:rsidR="000F4499" w:rsidRPr="008F486E">
        <w:rPr>
          <w:rStyle w:val="Refdenotaalpie"/>
          <w:rFonts w:ascii="Arial" w:hAnsi="Arial" w:cs="Arial"/>
          <w:sz w:val="24"/>
          <w:szCs w:val="24"/>
        </w:rPr>
        <w:footnoteReference w:id="24"/>
      </w:r>
      <w:r w:rsidR="00C06BC1" w:rsidRPr="008F486E">
        <w:rPr>
          <w:rFonts w:ascii="Arial" w:hAnsi="Arial" w:cs="Arial"/>
          <w:sz w:val="24"/>
          <w:szCs w:val="24"/>
        </w:rPr>
        <w:t xml:space="preserve"> integran la tecnología informática y de las telecomunicaciones por satélite, a fin de poner a expertos en medicina en contacto virtual con pacientes o médicos de zonas distantes y rurales.</w:t>
      </w:r>
      <w:r w:rsidR="00FC5409" w:rsidRPr="008F486E">
        <w:rPr>
          <w:rFonts w:ascii="Arial" w:hAnsi="Arial" w:cs="Arial"/>
          <w:sz w:val="24"/>
          <w:szCs w:val="24"/>
        </w:rPr>
        <w:t xml:space="preserve"> Además, los datos obtenidos desde el espacio y </w:t>
      </w:r>
      <w:r w:rsidR="00FC5409" w:rsidRPr="008F486E">
        <w:rPr>
          <w:rFonts w:ascii="Arial" w:hAnsi="Arial" w:cs="Arial"/>
          <w:sz w:val="24"/>
          <w:szCs w:val="24"/>
        </w:rPr>
        <w:lastRenderedPageBreak/>
        <w:t>las tecnologías espaciales fomentan la conectividad de las emergencias sanitarias</w:t>
      </w:r>
      <w:r w:rsidR="00C176FC" w:rsidRPr="008F486E">
        <w:rPr>
          <w:rFonts w:ascii="Arial" w:hAnsi="Arial" w:cs="Arial"/>
          <w:sz w:val="24"/>
          <w:szCs w:val="24"/>
        </w:rPr>
        <w:t>,</w:t>
      </w:r>
      <w:r w:rsidR="00FC5409" w:rsidRPr="008F486E">
        <w:rPr>
          <w:rFonts w:ascii="Arial" w:hAnsi="Arial" w:cs="Arial"/>
          <w:sz w:val="24"/>
          <w:szCs w:val="24"/>
        </w:rPr>
        <w:t xml:space="preserve"> y la integración de la información obtenida desde el espacio en los sistemas de atención a la salud</w:t>
      </w:r>
      <w:r w:rsidR="00C176FC" w:rsidRPr="008F486E">
        <w:rPr>
          <w:rFonts w:ascii="Arial" w:hAnsi="Arial" w:cs="Arial"/>
          <w:sz w:val="24"/>
          <w:szCs w:val="24"/>
        </w:rPr>
        <w:t xml:space="preserve">, sirve de apoyo para el levantamiento de mapas de poblaciones, el tratamiento de enfermedades, la distribución de medicamentos, los sistemas de transporte y el abastecimiento de agua y saneamiento. Además, facilita la vigilancia de la evolución de la calidad del aire y los factores ambientales relacionados con la salud. A este respecto, la Subcomisión de Asuntos Científicos y Técnicos de COPUOS, en su 51 período de sesiones, hizo notar la eficaz función de la ciencia y la tecnología espaciales y sus aplicaciones y de la información geoespacial en esferas como la </w:t>
      </w:r>
      <w:proofErr w:type="spellStart"/>
      <w:r w:rsidR="00C176FC" w:rsidRPr="008F486E">
        <w:rPr>
          <w:rFonts w:ascii="Arial" w:hAnsi="Arial" w:cs="Arial"/>
          <w:sz w:val="24"/>
          <w:szCs w:val="24"/>
        </w:rPr>
        <w:t>telesalud</w:t>
      </w:r>
      <w:proofErr w:type="spellEnd"/>
      <w:r w:rsidR="00C176FC" w:rsidRPr="008F486E">
        <w:rPr>
          <w:rFonts w:ascii="Arial" w:hAnsi="Arial" w:cs="Arial"/>
          <w:sz w:val="24"/>
          <w:szCs w:val="24"/>
        </w:rPr>
        <w:t xml:space="preserve">, la </w:t>
      </w:r>
      <w:proofErr w:type="spellStart"/>
      <w:r w:rsidR="00C176FC" w:rsidRPr="008F486E">
        <w:rPr>
          <w:rFonts w:ascii="Arial" w:hAnsi="Arial" w:cs="Arial"/>
          <w:sz w:val="24"/>
          <w:szCs w:val="24"/>
        </w:rPr>
        <w:t>teleepidemiología</w:t>
      </w:r>
      <w:proofErr w:type="spellEnd"/>
      <w:r w:rsidR="00C176FC" w:rsidRPr="008F486E">
        <w:rPr>
          <w:rFonts w:ascii="Arial" w:hAnsi="Arial" w:cs="Arial"/>
          <w:sz w:val="24"/>
          <w:szCs w:val="24"/>
        </w:rPr>
        <w:t>, la educación a distancia, la gestión de actividades en casos de desastre, la protección del medio ambiente, el desarrollo urbano y rural, la vigilancia de la Tierra, así como su contribución al desarrollo económico,</w:t>
      </w:r>
      <w:r w:rsidR="002468FB" w:rsidRPr="008F486E">
        <w:rPr>
          <w:rFonts w:ascii="Arial" w:hAnsi="Arial" w:cs="Arial"/>
          <w:sz w:val="24"/>
          <w:szCs w:val="24"/>
        </w:rPr>
        <w:t xml:space="preserve"> </w:t>
      </w:r>
      <w:r w:rsidR="00C176FC" w:rsidRPr="008F486E">
        <w:rPr>
          <w:rFonts w:ascii="Arial" w:hAnsi="Arial" w:cs="Arial"/>
          <w:sz w:val="24"/>
          <w:szCs w:val="24"/>
        </w:rPr>
        <w:t>social y cultural</w:t>
      </w:r>
      <w:r w:rsidR="002468FB" w:rsidRPr="008F486E">
        <w:rPr>
          <w:rStyle w:val="Refdenotaalpie"/>
          <w:rFonts w:ascii="Arial" w:hAnsi="Arial" w:cs="Arial"/>
          <w:sz w:val="24"/>
          <w:szCs w:val="24"/>
        </w:rPr>
        <w:footnoteReference w:id="25"/>
      </w:r>
      <w:r w:rsidR="00C176FC" w:rsidRPr="008F486E">
        <w:rPr>
          <w:rFonts w:ascii="Arial" w:hAnsi="Arial" w:cs="Arial"/>
          <w:sz w:val="24"/>
          <w:szCs w:val="24"/>
        </w:rPr>
        <w:t>.</w:t>
      </w:r>
    </w:p>
    <w:p w:rsidR="001E47A9" w:rsidRPr="008F486E" w:rsidRDefault="001E47A9" w:rsidP="008F486E">
      <w:pPr>
        <w:spacing w:line="360" w:lineRule="auto"/>
        <w:ind w:firstLine="360"/>
        <w:jc w:val="both"/>
        <w:rPr>
          <w:rFonts w:ascii="Arial" w:hAnsi="Arial" w:cs="Arial"/>
          <w:i/>
          <w:sz w:val="24"/>
          <w:szCs w:val="24"/>
        </w:rPr>
      </w:pPr>
      <w:r w:rsidRPr="008F486E">
        <w:rPr>
          <w:rFonts w:ascii="Arial" w:hAnsi="Arial" w:cs="Arial"/>
          <w:i/>
          <w:sz w:val="24"/>
          <w:szCs w:val="24"/>
        </w:rPr>
        <w:t>La Asamblea G</w:t>
      </w:r>
      <w:r w:rsidR="008D4EFC" w:rsidRPr="008F486E">
        <w:rPr>
          <w:rFonts w:ascii="Arial" w:hAnsi="Arial" w:cs="Arial"/>
          <w:i/>
          <w:sz w:val="24"/>
          <w:szCs w:val="24"/>
        </w:rPr>
        <w:t>eneral</w:t>
      </w:r>
      <w:r w:rsidRPr="008F486E">
        <w:rPr>
          <w:rFonts w:ascii="Arial" w:hAnsi="Arial" w:cs="Arial"/>
          <w:i/>
          <w:sz w:val="24"/>
          <w:szCs w:val="24"/>
        </w:rPr>
        <w:t>:</w:t>
      </w:r>
    </w:p>
    <w:p w:rsidR="009D45FF" w:rsidRPr="008F486E" w:rsidRDefault="008D4EFC" w:rsidP="008F486E">
      <w:pPr>
        <w:spacing w:line="360" w:lineRule="auto"/>
        <w:ind w:firstLine="360"/>
        <w:jc w:val="both"/>
        <w:rPr>
          <w:rFonts w:ascii="Arial" w:hAnsi="Arial" w:cs="Arial"/>
          <w:sz w:val="24"/>
          <w:szCs w:val="24"/>
        </w:rPr>
      </w:pPr>
      <w:r w:rsidRPr="008F486E">
        <w:rPr>
          <w:rFonts w:ascii="Arial" w:hAnsi="Arial" w:cs="Arial"/>
          <w:i/>
          <w:sz w:val="24"/>
          <w:szCs w:val="24"/>
        </w:rPr>
        <w:t xml:space="preserve"> o</w:t>
      </w:r>
      <w:r w:rsidR="00BF46B5" w:rsidRPr="008F486E">
        <w:rPr>
          <w:rFonts w:ascii="Arial" w:hAnsi="Arial" w:cs="Arial"/>
          <w:i/>
          <w:sz w:val="24"/>
          <w:szCs w:val="24"/>
        </w:rPr>
        <w:t>pina que</w:t>
      </w:r>
      <w:r w:rsidR="009D45FF" w:rsidRPr="008F486E">
        <w:rPr>
          <w:rFonts w:ascii="Arial" w:hAnsi="Arial" w:cs="Arial"/>
          <w:i/>
          <w:sz w:val="24"/>
          <w:szCs w:val="24"/>
        </w:rPr>
        <w:t xml:space="preserve"> debe garantizar</w:t>
      </w:r>
      <w:r w:rsidR="00BF46B5" w:rsidRPr="008F486E">
        <w:rPr>
          <w:rFonts w:ascii="Arial" w:hAnsi="Arial" w:cs="Arial"/>
          <w:i/>
          <w:sz w:val="24"/>
          <w:szCs w:val="24"/>
        </w:rPr>
        <w:t>se</w:t>
      </w:r>
      <w:r w:rsidR="009D45FF" w:rsidRPr="008F486E">
        <w:rPr>
          <w:rFonts w:ascii="Arial" w:hAnsi="Arial" w:cs="Arial"/>
          <w:i/>
          <w:sz w:val="24"/>
          <w:szCs w:val="24"/>
        </w:rPr>
        <w:t xml:space="preserve"> la realización de las actividades espaciales en condiciones de seguridad y de manera responsable :</w:t>
      </w:r>
      <w:r w:rsidR="009D45FF" w:rsidRPr="008F486E">
        <w:rPr>
          <w:rFonts w:ascii="Arial" w:hAnsi="Arial" w:cs="Arial"/>
          <w:sz w:val="24"/>
          <w:szCs w:val="24"/>
        </w:rPr>
        <w:t xml:space="preserve"> como las recomendaciones formuladas por el Grupo de Expertos Gubernamentales sobre medidas de Transparencia y Fomento de la Confianza en las Actividades</w:t>
      </w:r>
      <w:r w:rsidR="00BF46B5" w:rsidRPr="008F486E">
        <w:rPr>
          <w:rFonts w:ascii="Arial" w:hAnsi="Arial" w:cs="Arial"/>
          <w:sz w:val="24"/>
          <w:szCs w:val="24"/>
        </w:rPr>
        <w:t xml:space="preserve"> relativas al Espacio Ultraterr</w:t>
      </w:r>
      <w:r w:rsidR="009D45FF" w:rsidRPr="008F486E">
        <w:rPr>
          <w:rFonts w:ascii="Arial" w:hAnsi="Arial" w:cs="Arial"/>
          <w:sz w:val="24"/>
          <w:szCs w:val="24"/>
        </w:rPr>
        <w:t>estre en general (A/69/20). Este Grupo de Expertos que se estableció en 2012, de conformidad con la Resolución AGNU 65/68, aprobó un informe por consenso en el que se enumeraban una serie de medidas voluntarias de trasparencia y fomento de la confianza como el intercambio de distintos tipos de información sobre la política y las actividades espaciales de los Estados, las notificaciones para la reducción del riesgo y las visitas de expertos a las instalaciones espaciales nacionales y la no proliferación.</w:t>
      </w:r>
      <w:r w:rsidR="006D1349" w:rsidRPr="008F486E">
        <w:rPr>
          <w:rFonts w:ascii="Arial" w:hAnsi="Arial" w:cs="Arial"/>
          <w:sz w:val="24"/>
          <w:szCs w:val="24"/>
        </w:rPr>
        <w:t xml:space="preserve"> Debe tenerse en cuenta que la Reunión Interinstitucional sobre las Actividades relativas al Espacio Ultraterrestre (ONU-</w:t>
      </w:r>
      <w:r w:rsidR="006D1349" w:rsidRPr="008F486E">
        <w:rPr>
          <w:rFonts w:ascii="Arial" w:hAnsi="Arial" w:cs="Arial"/>
          <w:i/>
          <w:sz w:val="24"/>
          <w:szCs w:val="24"/>
        </w:rPr>
        <w:t>ESPACIO</w:t>
      </w:r>
      <w:r w:rsidR="006D1349" w:rsidRPr="008F486E">
        <w:rPr>
          <w:rFonts w:ascii="Arial" w:hAnsi="Arial" w:cs="Arial"/>
          <w:sz w:val="24"/>
          <w:szCs w:val="24"/>
        </w:rPr>
        <w:t>) es el mecanismo central de coordinación de las Naciones Unidas para las actividades relativas al espacio ultraterrestre, bajo el liderazg</w:t>
      </w:r>
      <w:r w:rsidR="00BF46B5" w:rsidRPr="008F486E">
        <w:rPr>
          <w:rFonts w:ascii="Arial" w:hAnsi="Arial" w:cs="Arial"/>
          <w:sz w:val="24"/>
          <w:szCs w:val="24"/>
        </w:rPr>
        <w:t xml:space="preserve">o de la Oficina de </w:t>
      </w:r>
      <w:r w:rsidR="00BF46B5" w:rsidRPr="008F486E">
        <w:rPr>
          <w:rFonts w:ascii="Arial" w:hAnsi="Arial" w:cs="Arial"/>
          <w:sz w:val="24"/>
          <w:szCs w:val="24"/>
        </w:rPr>
        <w:lastRenderedPageBreak/>
        <w:t>Asuntos del Espacio Ultraterrestre de la S</w:t>
      </w:r>
      <w:r w:rsidR="006D1349" w:rsidRPr="008F486E">
        <w:rPr>
          <w:rFonts w:ascii="Arial" w:hAnsi="Arial" w:cs="Arial"/>
          <w:sz w:val="24"/>
          <w:szCs w:val="24"/>
        </w:rPr>
        <w:t>ecretaría, con el fin de promover sinergias y evitar la superposición de actividades relacionadas con la utilización de la tecnología espacial y sus aplicaciones en el ámbito de las entidades de las Naciones Unidas y en particular con el Grupo de Trabajo de las Naciones Unidas sobre Información Geográf</w:t>
      </w:r>
      <w:r w:rsidR="00BF46B5" w:rsidRPr="008F486E">
        <w:rPr>
          <w:rFonts w:ascii="Arial" w:hAnsi="Arial" w:cs="Arial"/>
          <w:sz w:val="24"/>
          <w:szCs w:val="24"/>
        </w:rPr>
        <w:t>ica y la Gestión Mundial de la Información G</w:t>
      </w:r>
      <w:r w:rsidR="006D1349" w:rsidRPr="008F486E">
        <w:rPr>
          <w:rFonts w:ascii="Arial" w:hAnsi="Arial" w:cs="Arial"/>
          <w:sz w:val="24"/>
          <w:szCs w:val="24"/>
        </w:rPr>
        <w:t>eoespacial</w:t>
      </w:r>
      <w:r w:rsidR="006D1349" w:rsidRPr="008F486E">
        <w:rPr>
          <w:rStyle w:val="Refdenotaalpie"/>
          <w:rFonts w:ascii="Arial" w:hAnsi="Arial" w:cs="Arial"/>
          <w:sz w:val="24"/>
          <w:szCs w:val="24"/>
        </w:rPr>
        <w:footnoteReference w:id="26"/>
      </w:r>
      <w:r w:rsidR="006D1349" w:rsidRPr="008F486E">
        <w:rPr>
          <w:rFonts w:ascii="Arial" w:hAnsi="Arial" w:cs="Arial"/>
          <w:sz w:val="24"/>
          <w:szCs w:val="24"/>
        </w:rPr>
        <w:t>.</w:t>
      </w:r>
    </w:p>
    <w:p w:rsidR="00FE4053" w:rsidRPr="008F486E" w:rsidRDefault="00FE4053" w:rsidP="008F486E">
      <w:pPr>
        <w:spacing w:line="360" w:lineRule="auto"/>
        <w:ind w:firstLine="360"/>
        <w:jc w:val="both"/>
        <w:rPr>
          <w:rFonts w:ascii="Arial" w:hAnsi="Arial" w:cs="Arial"/>
          <w:i/>
          <w:sz w:val="24"/>
          <w:szCs w:val="24"/>
        </w:rPr>
      </w:pPr>
      <w:r w:rsidRPr="008F486E">
        <w:rPr>
          <w:rFonts w:ascii="Arial" w:hAnsi="Arial" w:cs="Arial"/>
          <w:i/>
          <w:sz w:val="24"/>
          <w:szCs w:val="24"/>
        </w:rPr>
        <w:t>Insta a todos los Esta</w:t>
      </w:r>
      <w:r w:rsidR="00433148" w:rsidRPr="008F486E">
        <w:rPr>
          <w:rFonts w:ascii="Arial" w:hAnsi="Arial" w:cs="Arial"/>
          <w:i/>
          <w:sz w:val="24"/>
          <w:szCs w:val="24"/>
        </w:rPr>
        <w:t>dos a que contribuyan al Fondo F</w:t>
      </w:r>
      <w:r w:rsidRPr="008F486E">
        <w:rPr>
          <w:rFonts w:ascii="Arial" w:hAnsi="Arial" w:cs="Arial"/>
          <w:i/>
          <w:sz w:val="24"/>
          <w:szCs w:val="24"/>
        </w:rPr>
        <w:t>iduciario en apoyo al Programa de las Naciones Unidas sobre la utilización del espacio ultraterrestre con fines pacíficos</w:t>
      </w:r>
      <w:r w:rsidRPr="008F486E">
        <w:rPr>
          <w:rFonts w:ascii="Arial" w:hAnsi="Arial" w:cs="Arial"/>
          <w:sz w:val="24"/>
          <w:szCs w:val="24"/>
        </w:rPr>
        <w:t xml:space="preserve"> a fin de aumentar la capacidad de la Oficina para prestar servicios de asesoramiento técnico y jurídico en sus esferas temáticas prioritarias relacionadas con la ciencia y la tecnología espaciales y sus aplicaciones en beneficio de todos los países. Recordemos que un fondo fiduciario es una herramienta financiera a través de la cual se administran activos financieros en beneficio de otra persona física o jurídica.</w:t>
      </w:r>
    </w:p>
    <w:p w:rsidR="00FE4053" w:rsidRPr="008F486E" w:rsidRDefault="00FE4053" w:rsidP="008F486E">
      <w:pPr>
        <w:spacing w:line="360" w:lineRule="auto"/>
        <w:ind w:firstLine="360"/>
        <w:jc w:val="both"/>
        <w:rPr>
          <w:rFonts w:ascii="Arial" w:hAnsi="Arial" w:cs="Arial"/>
          <w:i/>
          <w:sz w:val="24"/>
          <w:szCs w:val="24"/>
        </w:rPr>
      </w:pPr>
      <w:r w:rsidRPr="008F486E">
        <w:rPr>
          <w:rFonts w:ascii="Arial" w:hAnsi="Arial" w:cs="Arial"/>
          <w:i/>
          <w:sz w:val="24"/>
          <w:szCs w:val="24"/>
        </w:rPr>
        <w:t>Profundamente preocupada por la fragilidad del entorno espacial y los problemas de la sostenibilidad a largo plazo, en particular, el impacto de los desechos espaciales.</w:t>
      </w:r>
      <w:r w:rsidR="008A3C76" w:rsidRPr="008F486E">
        <w:rPr>
          <w:rFonts w:ascii="Arial" w:hAnsi="Arial" w:cs="Arial"/>
          <w:i/>
          <w:sz w:val="24"/>
          <w:szCs w:val="24"/>
        </w:rPr>
        <w:t xml:space="preserve"> </w:t>
      </w:r>
      <w:r w:rsidRPr="008F486E">
        <w:rPr>
          <w:rFonts w:ascii="Arial" w:hAnsi="Arial" w:cs="Arial"/>
          <w:sz w:val="24"/>
          <w:szCs w:val="24"/>
        </w:rPr>
        <w:t>Algunos Estados ya están adoptando medidas para reducir los desechos espa</w:t>
      </w:r>
      <w:r w:rsidR="00881C10" w:rsidRPr="008F486E">
        <w:rPr>
          <w:rFonts w:ascii="Arial" w:hAnsi="Arial" w:cs="Arial"/>
          <w:sz w:val="24"/>
          <w:szCs w:val="24"/>
        </w:rPr>
        <w:t xml:space="preserve">ciales mediante mecanismos nacionales y de conformidad con las Directrices para la Reducción de Desechos Espaciales del Comité Interinstitucional de Coordinación en materia de Desechos Espaciales y las Directrices para la Reducción de Desechos Espaciales de COPUOS. </w:t>
      </w:r>
      <w:r w:rsidR="00010135" w:rsidRPr="008F486E">
        <w:rPr>
          <w:rFonts w:ascii="Arial" w:hAnsi="Arial" w:cs="Arial"/>
          <w:sz w:val="24"/>
          <w:szCs w:val="24"/>
        </w:rPr>
        <w:t>Los países que llevan a cabo actividades en el espacio ultraterrestre coinciden en definir los desechos espaciales como “todos los objetos artificiales, incluidos sus fragmentos, que están en órbita terrestre o</w:t>
      </w:r>
      <w:r w:rsidR="00BF46B5" w:rsidRPr="008F486E">
        <w:rPr>
          <w:rFonts w:ascii="Arial" w:hAnsi="Arial" w:cs="Arial"/>
          <w:sz w:val="24"/>
          <w:szCs w:val="24"/>
        </w:rPr>
        <w:t xml:space="preserve"> que reingresan a la atmósfera </w:t>
      </w:r>
      <w:r w:rsidR="00010135" w:rsidRPr="008F486E">
        <w:rPr>
          <w:rFonts w:ascii="Arial" w:hAnsi="Arial" w:cs="Arial"/>
          <w:sz w:val="24"/>
          <w:szCs w:val="24"/>
        </w:rPr>
        <w:t>y que no son funcionales”. El problema fundamental que se presenta es el choque de estos objetos inservibles con otros</w:t>
      </w:r>
      <w:r w:rsidR="00963FF3" w:rsidRPr="008F486E">
        <w:rPr>
          <w:rFonts w:ascii="Arial" w:hAnsi="Arial" w:cs="Arial"/>
          <w:sz w:val="24"/>
          <w:szCs w:val="24"/>
        </w:rPr>
        <w:t xml:space="preserve"> objetos espaciales que se encuentran</w:t>
      </w:r>
      <w:r w:rsidR="00010135" w:rsidRPr="008F486E">
        <w:rPr>
          <w:rFonts w:ascii="Arial" w:hAnsi="Arial" w:cs="Arial"/>
          <w:sz w:val="24"/>
          <w:szCs w:val="24"/>
        </w:rPr>
        <w:t xml:space="preserve"> en funcionamiento como satélites o la propia estación espacial internacional</w:t>
      </w:r>
      <w:r w:rsidR="00010135" w:rsidRPr="008F486E">
        <w:rPr>
          <w:rStyle w:val="Refdenotaalpie"/>
          <w:rFonts w:ascii="Arial" w:hAnsi="Arial" w:cs="Arial"/>
          <w:sz w:val="24"/>
          <w:szCs w:val="24"/>
        </w:rPr>
        <w:footnoteReference w:id="27"/>
      </w:r>
      <w:r w:rsidR="00010135" w:rsidRPr="008F486E">
        <w:rPr>
          <w:rFonts w:ascii="Arial" w:hAnsi="Arial" w:cs="Arial"/>
          <w:sz w:val="24"/>
          <w:szCs w:val="24"/>
        </w:rPr>
        <w:t>.</w:t>
      </w:r>
      <w:r w:rsidR="00143809" w:rsidRPr="008F486E">
        <w:rPr>
          <w:rFonts w:ascii="Arial" w:hAnsi="Arial" w:cs="Arial"/>
          <w:sz w:val="24"/>
          <w:szCs w:val="24"/>
        </w:rPr>
        <w:t xml:space="preserve"> Sobre este tema véase </w:t>
      </w:r>
      <w:r w:rsidR="00284269" w:rsidRPr="008F486E">
        <w:rPr>
          <w:rFonts w:ascii="Arial" w:hAnsi="Arial" w:cs="Arial"/>
          <w:sz w:val="24"/>
          <w:szCs w:val="24"/>
        </w:rPr>
        <w:t xml:space="preserve">más adelante en </w:t>
      </w:r>
      <w:r w:rsidR="00284269" w:rsidRPr="008F486E">
        <w:rPr>
          <w:rFonts w:ascii="Arial" w:hAnsi="Arial" w:cs="Arial"/>
          <w:i/>
          <w:sz w:val="24"/>
          <w:szCs w:val="24"/>
        </w:rPr>
        <w:t>el apartado II.B</w:t>
      </w:r>
      <w:r w:rsidR="00AB1758" w:rsidRPr="008F486E">
        <w:rPr>
          <w:rFonts w:ascii="Arial" w:hAnsi="Arial" w:cs="Arial"/>
          <w:i/>
          <w:sz w:val="24"/>
          <w:szCs w:val="24"/>
        </w:rPr>
        <w:t>.4</w:t>
      </w:r>
      <w:r w:rsidR="00143809" w:rsidRPr="008F486E">
        <w:rPr>
          <w:rFonts w:ascii="Arial" w:hAnsi="Arial" w:cs="Arial"/>
          <w:i/>
          <w:sz w:val="24"/>
          <w:szCs w:val="24"/>
        </w:rPr>
        <w:t>.</w:t>
      </w:r>
      <w:r w:rsidR="00213D83" w:rsidRPr="008F486E">
        <w:rPr>
          <w:rFonts w:ascii="Arial" w:hAnsi="Arial" w:cs="Arial"/>
          <w:i/>
          <w:sz w:val="24"/>
          <w:szCs w:val="24"/>
        </w:rPr>
        <w:t xml:space="preserve"> </w:t>
      </w:r>
      <w:r w:rsidR="00143809" w:rsidRPr="008F486E">
        <w:rPr>
          <w:rFonts w:ascii="Arial" w:hAnsi="Arial" w:cs="Arial"/>
          <w:i/>
          <w:sz w:val="24"/>
          <w:szCs w:val="24"/>
        </w:rPr>
        <w:t>“Directrices”.</w:t>
      </w:r>
    </w:p>
    <w:p w:rsidR="00FE4053" w:rsidRPr="008F486E" w:rsidRDefault="00FE4053" w:rsidP="008F486E">
      <w:pPr>
        <w:spacing w:line="360" w:lineRule="auto"/>
        <w:ind w:firstLine="360"/>
        <w:jc w:val="both"/>
        <w:rPr>
          <w:rFonts w:ascii="Arial" w:hAnsi="Arial" w:cs="Arial"/>
          <w:sz w:val="24"/>
          <w:szCs w:val="24"/>
        </w:rPr>
      </w:pPr>
      <w:r w:rsidRPr="008F486E">
        <w:rPr>
          <w:rFonts w:ascii="Arial" w:hAnsi="Arial" w:cs="Arial"/>
          <w:i/>
          <w:sz w:val="24"/>
          <w:szCs w:val="24"/>
        </w:rPr>
        <w:lastRenderedPageBreak/>
        <w:t>Se observa la importancia del intercambio de información para descubrir, vigilar y caracterizar físicamente los objetos cercanos a la Tierra potencialmente peligrosos</w:t>
      </w:r>
      <w:r w:rsidR="00AD31BB" w:rsidRPr="008F486E">
        <w:rPr>
          <w:rFonts w:ascii="Arial" w:hAnsi="Arial" w:cs="Arial"/>
          <w:i/>
          <w:sz w:val="24"/>
          <w:szCs w:val="24"/>
        </w:rPr>
        <w:t>, a fin de asegurar que todos los países tengan conocimiento de las posibles amenazas, y se pone de relieve la necesidad de desarrollar una respuesta de emergencia y una gestión de desastres eficaces en caso de impacto de un objeto cercano a la Tierra</w:t>
      </w:r>
      <w:r w:rsidR="00A736CF" w:rsidRPr="008F486E">
        <w:rPr>
          <w:rFonts w:ascii="Arial" w:hAnsi="Arial" w:cs="Arial"/>
          <w:i/>
          <w:sz w:val="24"/>
          <w:szCs w:val="24"/>
        </w:rPr>
        <w:t>, recordando las R</w:t>
      </w:r>
      <w:r w:rsidR="00DB106E" w:rsidRPr="008F486E">
        <w:rPr>
          <w:rFonts w:ascii="Arial" w:hAnsi="Arial" w:cs="Arial"/>
          <w:i/>
          <w:sz w:val="24"/>
          <w:szCs w:val="24"/>
        </w:rPr>
        <w:t>ecomendaciones relativas a una respuesta internacional a la amenaza de impacto que plantean los OCT</w:t>
      </w:r>
      <w:r w:rsidR="00DB106E" w:rsidRPr="008F486E">
        <w:rPr>
          <w:rFonts w:ascii="Arial" w:hAnsi="Arial" w:cs="Arial"/>
          <w:sz w:val="24"/>
          <w:szCs w:val="24"/>
        </w:rPr>
        <w:t xml:space="preserve">. </w:t>
      </w:r>
      <w:r w:rsidR="003F18A4" w:rsidRPr="008F486E">
        <w:rPr>
          <w:rFonts w:ascii="Arial" w:hAnsi="Arial" w:cs="Arial"/>
          <w:sz w:val="24"/>
          <w:szCs w:val="24"/>
        </w:rPr>
        <w:t>Todos los Estados de la Comunidad Internacional deben ser conscientes del peligro que implica para la Humanidad la posibilidad de que un asteroide impacte contra la Tierra. Puede entender</w:t>
      </w:r>
      <w:r w:rsidR="00097535" w:rsidRPr="008F486E">
        <w:rPr>
          <w:rFonts w:ascii="Arial" w:hAnsi="Arial" w:cs="Arial"/>
          <w:sz w:val="24"/>
          <w:szCs w:val="24"/>
        </w:rPr>
        <w:t>se que un asteroide es un cuerpo</w:t>
      </w:r>
      <w:r w:rsidR="003F18A4" w:rsidRPr="008F486E">
        <w:rPr>
          <w:rFonts w:ascii="Arial" w:hAnsi="Arial" w:cs="Arial"/>
          <w:sz w:val="24"/>
          <w:szCs w:val="24"/>
        </w:rPr>
        <w:t xml:space="preserve"> celeste, </w:t>
      </w:r>
      <w:r w:rsidR="00097535" w:rsidRPr="008F486E">
        <w:rPr>
          <w:rFonts w:ascii="Arial" w:hAnsi="Arial" w:cs="Arial"/>
          <w:sz w:val="24"/>
          <w:szCs w:val="24"/>
        </w:rPr>
        <w:t xml:space="preserve">es decir, </w:t>
      </w:r>
      <w:r w:rsidR="003F18A4" w:rsidRPr="008F486E">
        <w:rPr>
          <w:rFonts w:ascii="Arial" w:hAnsi="Arial" w:cs="Arial"/>
          <w:sz w:val="24"/>
          <w:szCs w:val="24"/>
        </w:rPr>
        <w:t>aquél elemento natural, no terrestre que, sigui</w:t>
      </w:r>
      <w:r w:rsidR="00A736CF" w:rsidRPr="008F486E">
        <w:rPr>
          <w:rFonts w:ascii="Arial" w:hAnsi="Arial" w:cs="Arial"/>
          <w:sz w:val="24"/>
          <w:szCs w:val="24"/>
        </w:rPr>
        <w:t>endo las reglas de la mecánica c</w:t>
      </w:r>
      <w:r w:rsidR="003F18A4" w:rsidRPr="008F486E">
        <w:rPr>
          <w:rFonts w:ascii="Arial" w:hAnsi="Arial" w:cs="Arial"/>
          <w:sz w:val="24"/>
          <w:szCs w:val="24"/>
        </w:rPr>
        <w:t xml:space="preserve">eleste y, que no teniendo la condición necesaria para ser considerado como un planeta, pueda plantear un riesgo o una amenaza para la Tierra, por su posible colisión con ella, con otros cuerpos celestes o con objetos espaciales que se encuentren en el espacio exterior, por tanto, quedarían incluidos en esta categoría los cometas, asteroides y meteoritos. Actualmente, la preocupación se centra en evitar las consecuencias desastrosas que supondría </w:t>
      </w:r>
      <w:r w:rsidR="00097535" w:rsidRPr="008F486E">
        <w:rPr>
          <w:rFonts w:ascii="Arial" w:hAnsi="Arial" w:cs="Arial"/>
          <w:sz w:val="24"/>
          <w:szCs w:val="24"/>
        </w:rPr>
        <w:t>el impacto de un asteroide contra</w:t>
      </w:r>
      <w:r w:rsidR="003F18A4" w:rsidRPr="008F486E">
        <w:rPr>
          <w:rFonts w:ascii="Arial" w:hAnsi="Arial" w:cs="Arial"/>
          <w:sz w:val="24"/>
          <w:szCs w:val="24"/>
        </w:rPr>
        <w:t xml:space="preserve"> la Tierra, pero en un futuro, cuando se establezcan bases h</w:t>
      </w:r>
      <w:r w:rsidR="00097535" w:rsidRPr="008F486E">
        <w:rPr>
          <w:rFonts w:ascii="Arial" w:hAnsi="Arial" w:cs="Arial"/>
          <w:sz w:val="24"/>
          <w:szCs w:val="24"/>
        </w:rPr>
        <w:t>abitadas en la Luna o en otros cuerpos c</w:t>
      </w:r>
      <w:r w:rsidR="003F18A4" w:rsidRPr="008F486E">
        <w:rPr>
          <w:rFonts w:ascii="Arial" w:hAnsi="Arial" w:cs="Arial"/>
          <w:sz w:val="24"/>
          <w:szCs w:val="24"/>
        </w:rPr>
        <w:t>elestes, probablemente la preocupación se extienda a esas áreas.</w:t>
      </w:r>
      <w:r w:rsidR="00B80429" w:rsidRPr="008F486E">
        <w:rPr>
          <w:rFonts w:ascii="Arial" w:hAnsi="Arial" w:cs="Arial"/>
          <w:sz w:val="24"/>
          <w:szCs w:val="24"/>
        </w:rPr>
        <w:t xml:space="preserve"> </w:t>
      </w:r>
      <w:r w:rsidR="003F18A4" w:rsidRPr="008F486E">
        <w:rPr>
          <w:rFonts w:ascii="Arial" w:hAnsi="Arial" w:cs="Arial"/>
          <w:sz w:val="24"/>
          <w:szCs w:val="24"/>
        </w:rPr>
        <w:t xml:space="preserve">Sobre este tema véase </w:t>
      </w:r>
      <w:r w:rsidR="00284269" w:rsidRPr="008F486E">
        <w:rPr>
          <w:rFonts w:ascii="Arial" w:hAnsi="Arial" w:cs="Arial"/>
          <w:sz w:val="24"/>
          <w:szCs w:val="24"/>
        </w:rPr>
        <w:t>más adelante en el apartado II.B</w:t>
      </w:r>
      <w:r w:rsidR="00AB1758" w:rsidRPr="008F486E">
        <w:rPr>
          <w:rFonts w:ascii="Arial" w:hAnsi="Arial" w:cs="Arial"/>
          <w:sz w:val="24"/>
          <w:szCs w:val="24"/>
        </w:rPr>
        <w:t>.4</w:t>
      </w:r>
      <w:r w:rsidR="003F18A4" w:rsidRPr="008F486E">
        <w:rPr>
          <w:rFonts w:ascii="Arial" w:hAnsi="Arial" w:cs="Arial"/>
          <w:sz w:val="24"/>
          <w:szCs w:val="24"/>
        </w:rPr>
        <w:t>.”Directrices”.</w:t>
      </w:r>
    </w:p>
    <w:p w:rsidR="00907E8B" w:rsidRPr="008F486E" w:rsidRDefault="00B80429" w:rsidP="008F486E">
      <w:pPr>
        <w:spacing w:line="360" w:lineRule="auto"/>
        <w:ind w:firstLine="360"/>
        <w:jc w:val="both"/>
        <w:rPr>
          <w:rFonts w:ascii="Arial" w:hAnsi="Arial" w:cs="Arial"/>
          <w:sz w:val="24"/>
          <w:szCs w:val="24"/>
        </w:rPr>
      </w:pPr>
      <w:r w:rsidRPr="008F486E">
        <w:rPr>
          <w:rFonts w:ascii="Arial" w:hAnsi="Arial" w:cs="Arial"/>
          <w:i/>
          <w:sz w:val="24"/>
          <w:szCs w:val="24"/>
        </w:rPr>
        <w:t>La Asamblea General reconoce la importancia fundamental de la ciencia y la tecnología espaciales y sus aplicaciones para los procesos de desarrollo sostenible en los planos mundial, regional, nacional y local</w:t>
      </w:r>
      <w:r w:rsidR="0094561D" w:rsidRPr="008F486E">
        <w:rPr>
          <w:rFonts w:ascii="Arial" w:hAnsi="Arial" w:cs="Arial"/>
          <w:i/>
          <w:sz w:val="24"/>
          <w:szCs w:val="24"/>
        </w:rPr>
        <w:t xml:space="preserve">, </w:t>
      </w:r>
      <w:r w:rsidR="0094561D" w:rsidRPr="008F486E">
        <w:rPr>
          <w:rFonts w:ascii="Arial" w:hAnsi="Arial" w:cs="Arial"/>
          <w:sz w:val="24"/>
          <w:szCs w:val="24"/>
        </w:rPr>
        <w:t>debiéndose promover la formulación de políticas y programas de acción y su aplicación, en particular mediante cumbres y conferencias organizadas por las Naciones Unidas, y en particular destacamos la “Conferencia Espacial de las Américas”</w:t>
      </w:r>
      <w:r w:rsidR="00B72C9B" w:rsidRPr="008F486E">
        <w:rPr>
          <w:rFonts w:ascii="Arial" w:hAnsi="Arial" w:cs="Arial"/>
          <w:sz w:val="24"/>
          <w:szCs w:val="24"/>
        </w:rPr>
        <w:t xml:space="preserve"> y las “Conferencias UNISPACE”.  La </w:t>
      </w:r>
      <w:r w:rsidR="00B72C9B" w:rsidRPr="008F486E">
        <w:rPr>
          <w:rFonts w:ascii="Arial" w:hAnsi="Arial" w:cs="Arial"/>
          <w:i/>
          <w:sz w:val="24"/>
          <w:szCs w:val="24"/>
        </w:rPr>
        <w:t>Conferencia Espacial de las Américas</w:t>
      </w:r>
      <w:r w:rsidR="00E17B09" w:rsidRPr="008F486E">
        <w:rPr>
          <w:rFonts w:ascii="Arial" w:hAnsi="Arial" w:cs="Arial"/>
          <w:sz w:val="24"/>
          <w:szCs w:val="24"/>
        </w:rPr>
        <w:t xml:space="preserve"> es un foro de cooperación de carácter institucional donde representantes de los países de la Región se reúnen para avanzar en las actividades espaciales y promover la aplicación y el uso pacífico de las tecnologías que se deri</w:t>
      </w:r>
      <w:r w:rsidR="00B72C9B" w:rsidRPr="008F486E">
        <w:rPr>
          <w:rFonts w:ascii="Arial" w:hAnsi="Arial" w:cs="Arial"/>
          <w:sz w:val="24"/>
          <w:szCs w:val="24"/>
        </w:rPr>
        <w:t>ven de ellas, l</w:t>
      </w:r>
      <w:r w:rsidR="00E17B09" w:rsidRPr="008F486E">
        <w:rPr>
          <w:rFonts w:ascii="Arial" w:hAnsi="Arial" w:cs="Arial"/>
          <w:sz w:val="24"/>
          <w:szCs w:val="24"/>
        </w:rPr>
        <w:t xml:space="preserve">a Organización se lleva a cabo a través de la </w:t>
      </w:r>
      <w:r w:rsidR="00E17B09" w:rsidRPr="008F486E">
        <w:rPr>
          <w:rFonts w:ascii="Arial" w:hAnsi="Arial" w:cs="Arial"/>
          <w:i/>
          <w:sz w:val="24"/>
          <w:szCs w:val="24"/>
        </w:rPr>
        <w:t>Secretaría Pro Tempore</w:t>
      </w:r>
      <w:r w:rsidR="00E17B09" w:rsidRPr="008F486E">
        <w:rPr>
          <w:rFonts w:ascii="Arial" w:hAnsi="Arial" w:cs="Arial"/>
          <w:sz w:val="24"/>
          <w:szCs w:val="24"/>
        </w:rPr>
        <w:t xml:space="preserve"> que, además de brindar el soporte técnico, está encargada de promover la </w:t>
      </w:r>
      <w:r w:rsidR="00E17B09" w:rsidRPr="008F486E">
        <w:rPr>
          <w:rFonts w:ascii="Arial" w:hAnsi="Arial" w:cs="Arial"/>
          <w:sz w:val="24"/>
          <w:szCs w:val="24"/>
        </w:rPr>
        <w:lastRenderedPageBreak/>
        <w:t>aplicación del plan de acción</w:t>
      </w:r>
      <w:r w:rsidR="00F65397" w:rsidRPr="008F486E">
        <w:rPr>
          <w:rStyle w:val="Refdenotaalpie"/>
          <w:rFonts w:ascii="Arial" w:hAnsi="Arial" w:cs="Arial"/>
          <w:sz w:val="24"/>
          <w:szCs w:val="24"/>
        </w:rPr>
        <w:footnoteReference w:id="28"/>
      </w:r>
      <w:r w:rsidR="00E17B09" w:rsidRPr="008F486E">
        <w:rPr>
          <w:rFonts w:ascii="Arial" w:hAnsi="Arial" w:cs="Arial"/>
          <w:sz w:val="24"/>
          <w:szCs w:val="24"/>
        </w:rPr>
        <w:t>.</w:t>
      </w:r>
      <w:r w:rsidR="00B72C9B" w:rsidRPr="008F486E">
        <w:rPr>
          <w:rFonts w:ascii="Arial" w:hAnsi="Arial" w:cs="Arial"/>
          <w:sz w:val="24"/>
          <w:szCs w:val="24"/>
        </w:rPr>
        <w:t xml:space="preserve"> Respecto a las Conferencias UNISPACE</w:t>
      </w:r>
      <w:r w:rsidR="00097535" w:rsidRPr="008F486E">
        <w:rPr>
          <w:rFonts w:ascii="Arial" w:hAnsi="Arial" w:cs="Arial"/>
          <w:sz w:val="24"/>
          <w:szCs w:val="24"/>
        </w:rPr>
        <w:t>,</w:t>
      </w:r>
      <w:r w:rsidR="00B72C9B" w:rsidRPr="008F486E">
        <w:rPr>
          <w:rFonts w:ascii="Arial" w:hAnsi="Arial" w:cs="Arial"/>
          <w:sz w:val="24"/>
          <w:szCs w:val="24"/>
        </w:rPr>
        <w:t xml:space="preserve"> los objetivos hasta el momento han sido los siguientes : en </w:t>
      </w:r>
      <w:r w:rsidR="00B72C9B" w:rsidRPr="008F486E">
        <w:rPr>
          <w:rFonts w:ascii="Arial" w:hAnsi="Arial" w:cs="Arial"/>
          <w:i/>
          <w:sz w:val="24"/>
          <w:szCs w:val="24"/>
        </w:rPr>
        <w:t xml:space="preserve">UNISPACE I </w:t>
      </w:r>
      <w:r w:rsidR="0003187B" w:rsidRPr="008F486E">
        <w:rPr>
          <w:rFonts w:ascii="Arial" w:hAnsi="Arial" w:cs="Arial"/>
          <w:i/>
          <w:sz w:val="24"/>
          <w:szCs w:val="24"/>
        </w:rPr>
        <w:t>(1968</w:t>
      </w:r>
      <w:r w:rsidR="0003187B" w:rsidRPr="008F486E">
        <w:rPr>
          <w:rFonts w:ascii="Arial" w:hAnsi="Arial" w:cs="Arial"/>
          <w:sz w:val="24"/>
          <w:szCs w:val="24"/>
        </w:rPr>
        <w:t xml:space="preserve">) se trató el acceso a la información y su intercambio, en particular mediante el examen de las oportunidades y los beneficios prácticos de las aplicaciones de la ciencia y la tecnología espaciales para los países en desarrollo; en </w:t>
      </w:r>
      <w:r w:rsidR="0003187B" w:rsidRPr="008F486E">
        <w:rPr>
          <w:rFonts w:ascii="Arial" w:hAnsi="Arial" w:cs="Arial"/>
          <w:i/>
          <w:sz w:val="24"/>
          <w:szCs w:val="24"/>
        </w:rPr>
        <w:t>UNISPACE II (1982)</w:t>
      </w:r>
      <w:r w:rsidR="0003187B" w:rsidRPr="008F486E">
        <w:rPr>
          <w:rFonts w:ascii="Arial" w:hAnsi="Arial" w:cs="Arial"/>
          <w:sz w:val="24"/>
          <w:szCs w:val="24"/>
        </w:rPr>
        <w:t xml:space="preserve"> se estudió la creación de capacidad en los países en desarrollo, especialmente la asistencia técnica y su financiación, el fortalecimiento de la cooperación regional (centros regionales), y el examen de la preocupación por evitar una carrera de armamentos en el espacio ultraterrestre, con miras a cosechar los beneficios de la utilización del espacio ultraterrestre con fines pacíficos y</w:t>
      </w:r>
      <w:r w:rsidR="00A8680E" w:rsidRPr="008F486E">
        <w:rPr>
          <w:rFonts w:ascii="Arial" w:hAnsi="Arial" w:cs="Arial"/>
          <w:sz w:val="24"/>
          <w:szCs w:val="24"/>
        </w:rPr>
        <w:t>,</w:t>
      </w:r>
      <w:r w:rsidR="0003187B" w:rsidRPr="008F486E">
        <w:rPr>
          <w:rFonts w:ascii="Arial" w:hAnsi="Arial" w:cs="Arial"/>
          <w:sz w:val="24"/>
          <w:szCs w:val="24"/>
        </w:rPr>
        <w:t xml:space="preserve"> en </w:t>
      </w:r>
      <w:r w:rsidR="0003187B" w:rsidRPr="008F486E">
        <w:rPr>
          <w:rFonts w:ascii="Arial" w:hAnsi="Arial" w:cs="Arial"/>
          <w:i/>
          <w:sz w:val="24"/>
          <w:szCs w:val="24"/>
        </w:rPr>
        <w:t>UNISPACE III</w:t>
      </w:r>
      <w:r w:rsidR="0003187B" w:rsidRPr="008F486E">
        <w:rPr>
          <w:rFonts w:ascii="Arial" w:hAnsi="Arial" w:cs="Arial"/>
          <w:sz w:val="24"/>
          <w:szCs w:val="24"/>
        </w:rPr>
        <w:t xml:space="preserve"> (1999)</w:t>
      </w:r>
      <w:r w:rsidR="00A8680E" w:rsidRPr="008F486E">
        <w:rPr>
          <w:rFonts w:ascii="Arial" w:hAnsi="Arial" w:cs="Arial"/>
          <w:sz w:val="24"/>
          <w:szCs w:val="24"/>
        </w:rPr>
        <w:t>,</w:t>
      </w:r>
      <w:r w:rsidR="0003187B" w:rsidRPr="008F486E">
        <w:rPr>
          <w:rFonts w:ascii="Arial" w:hAnsi="Arial" w:cs="Arial"/>
          <w:sz w:val="24"/>
          <w:szCs w:val="24"/>
        </w:rPr>
        <w:t xml:space="preserve"> se analizó el uso de la ciencia y la tecnología espaciales para hacer frente a los problemas mundiales de desarrollo después de la Conferencia de las Naciones Unidas sobre el Medio Ambiente y el Desarrollo (Cumbre para la Tierra), celebrada en Río de Janeiro (Brasil) en 1992, en particular el uso de la tecnología espacial, para prestar asistencia en la solución de problemas de relevancia region</w:t>
      </w:r>
      <w:r w:rsidR="00A8680E" w:rsidRPr="008F486E">
        <w:rPr>
          <w:rFonts w:ascii="Arial" w:hAnsi="Arial" w:cs="Arial"/>
          <w:sz w:val="24"/>
          <w:szCs w:val="24"/>
        </w:rPr>
        <w:t>al y mundial así como el</w:t>
      </w:r>
      <w:r w:rsidR="0003187B" w:rsidRPr="008F486E">
        <w:rPr>
          <w:rFonts w:ascii="Arial" w:hAnsi="Arial" w:cs="Arial"/>
          <w:sz w:val="24"/>
          <w:szCs w:val="24"/>
        </w:rPr>
        <w:t xml:space="preserve"> fortalecimiento de la capacidad de los Estados Miembros, en especial los países en desarrollo, respecto del uso de las aplicaciones de la ciencia y la tecnología espaciales para su adelanto económico, social y cultural. </w:t>
      </w:r>
    </w:p>
    <w:p w:rsidR="0052202E" w:rsidRPr="008F486E" w:rsidRDefault="0052202E" w:rsidP="008F486E">
      <w:pPr>
        <w:spacing w:line="360" w:lineRule="auto"/>
        <w:ind w:firstLine="360"/>
        <w:jc w:val="both"/>
        <w:rPr>
          <w:rFonts w:ascii="Arial" w:hAnsi="Arial" w:cs="Arial"/>
          <w:sz w:val="24"/>
          <w:szCs w:val="24"/>
        </w:rPr>
      </w:pPr>
      <w:r w:rsidRPr="008F486E">
        <w:rPr>
          <w:rFonts w:ascii="Arial" w:hAnsi="Arial" w:cs="Arial"/>
          <w:sz w:val="24"/>
          <w:szCs w:val="24"/>
        </w:rPr>
        <w:t>UNISPACE+50, que se celebrará en 2018</w:t>
      </w:r>
      <w:r w:rsidR="00A8680E" w:rsidRPr="008F486E">
        <w:rPr>
          <w:rFonts w:ascii="Arial" w:hAnsi="Arial" w:cs="Arial"/>
          <w:sz w:val="24"/>
          <w:szCs w:val="24"/>
        </w:rPr>
        <w:t>, cincuenta</w:t>
      </w:r>
      <w:r w:rsidRPr="008F486E">
        <w:rPr>
          <w:rFonts w:ascii="Arial" w:hAnsi="Arial" w:cs="Arial"/>
          <w:sz w:val="24"/>
          <w:szCs w:val="24"/>
        </w:rPr>
        <w:t xml:space="preserve"> años después de la primera Conferencia de las Naciones Unidas sobre la Exploración y Utilización del Espacio Ultraterrestre con Fines Pacíficos a nivel mundial, constituye una ocasión oportuna para orientar el rumbo hacia el fortalecimiento de los mandatos de la Comisión de examinar los retos y oportunidades actuales, particularmente en las esferas de las siete prioridades temáticas de </w:t>
      </w:r>
      <w:r w:rsidRPr="008F486E">
        <w:rPr>
          <w:rFonts w:ascii="Arial" w:hAnsi="Arial" w:cs="Arial"/>
          <w:i/>
          <w:sz w:val="24"/>
          <w:szCs w:val="24"/>
        </w:rPr>
        <w:t>UNISPACE+50</w:t>
      </w:r>
      <w:r w:rsidRPr="008F486E">
        <w:rPr>
          <w:rFonts w:ascii="Arial" w:hAnsi="Arial" w:cs="Arial"/>
          <w:sz w:val="24"/>
          <w:szCs w:val="24"/>
        </w:rPr>
        <w:t>, a saber, Alianza mundial para la exploración y la innovación espaciales;  Régimen jurídico del espacio ultraterrestre y la gobernanza global del espacio: perspectivas actuales y futuras; Mejorar el intercambio de información sobre objetos y fenómenos espaciales; Marco internacional de los servicios relativos al clima espacial; Intensificar la cooperación en el espacio al servicio de la salud mundial;  Cooperación internacional para crear so</w:t>
      </w:r>
      <w:r w:rsidR="00A8680E" w:rsidRPr="008F486E">
        <w:rPr>
          <w:rFonts w:ascii="Arial" w:hAnsi="Arial" w:cs="Arial"/>
          <w:sz w:val="24"/>
          <w:szCs w:val="24"/>
        </w:rPr>
        <w:t xml:space="preserve">ciedades </w:t>
      </w:r>
      <w:proofErr w:type="spellStart"/>
      <w:r w:rsidR="00A8680E" w:rsidRPr="008F486E">
        <w:rPr>
          <w:rFonts w:ascii="Arial" w:hAnsi="Arial" w:cs="Arial"/>
          <w:sz w:val="24"/>
          <w:szCs w:val="24"/>
        </w:rPr>
        <w:t>resilientes</w:t>
      </w:r>
      <w:proofErr w:type="spellEnd"/>
      <w:r w:rsidR="00A8680E" w:rsidRPr="008F486E">
        <w:rPr>
          <w:rFonts w:ascii="Arial" w:hAnsi="Arial" w:cs="Arial"/>
          <w:sz w:val="24"/>
          <w:szCs w:val="24"/>
        </w:rPr>
        <w:t xml:space="preserve"> </w:t>
      </w:r>
      <w:r w:rsidRPr="008F486E">
        <w:rPr>
          <w:rFonts w:ascii="Arial" w:hAnsi="Arial" w:cs="Arial"/>
          <w:sz w:val="24"/>
          <w:szCs w:val="24"/>
        </w:rPr>
        <w:t>y de bajas emisiones</w:t>
      </w:r>
      <w:r w:rsidR="00A8680E" w:rsidRPr="008F486E">
        <w:rPr>
          <w:rFonts w:ascii="Arial" w:hAnsi="Arial" w:cs="Arial"/>
          <w:sz w:val="24"/>
          <w:szCs w:val="24"/>
        </w:rPr>
        <w:t>,</w:t>
      </w:r>
      <w:r w:rsidRPr="008F486E">
        <w:rPr>
          <w:rFonts w:ascii="Arial" w:hAnsi="Arial" w:cs="Arial"/>
          <w:sz w:val="24"/>
          <w:szCs w:val="24"/>
        </w:rPr>
        <w:t xml:space="preserve"> y  creación de capacidad para el siglo XXI.</w:t>
      </w:r>
      <w:r w:rsidR="00A868A5" w:rsidRPr="008F486E">
        <w:rPr>
          <w:rFonts w:ascii="Arial" w:hAnsi="Arial" w:cs="Arial"/>
          <w:sz w:val="24"/>
          <w:szCs w:val="24"/>
        </w:rPr>
        <w:t xml:space="preserve"> </w:t>
      </w:r>
      <w:r w:rsidR="00A868A5" w:rsidRPr="008F486E">
        <w:rPr>
          <w:rFonts w:ascii="Arial" w:hAnsi="Arial" w:cs="Arial"/>
          <w:sz w:val="24"/>
          <w:szCs w:val="24"/>
        </w:rPr>
        <w:lastRenderedPageBreak/>
        <w:t xml:space="preserve">Para fomentar las alianzas mundiales y la participación de la comunidad espacial en su conjunto, la Oficina ha puesto en marcha la iniciativa </w:t>
      </w:r>
      <w:r w:rsidR="00A868A5" w:rsidRPr="008F486E">
        <w:rPr>
          <w:rFonts w:ascii="Arial" w:hAnsi="Arial" w:cs="Arial"/>
          <w:i/>
          <w:sz w:val="24"/>
          <w:szCs w:val="24"/>
        </w:rPr>
        <w:t>Apoyo Estratégico de Donantes Múltiples a UNISPACE+50</w:t>
      </w:r>
      <w:r w:rsidR="00A868A5" w:rsidRPr="008F486E">
        <w:rPr>
          <w:rFonts w:ascii="Arial" w:hAnsi="Arial" w:cs="Arial"/>
          <w:sz w:val="24"/>
          <w:szCs w:val="24"/>
        </w:rPr>
        <w:t>, que busca prestar apoyo al proceso de UNISPACE+50 con el fin de preparar, estructurar y realizar actividades encaminadas a promover las aplicaciones y tecnolo</w:t>
      </w:r>
      <w:r w:rsidR="00A8680E" w:rsidRPr="008F486E">
        <w:rPr>
          <w:rFonts w:ascii="Arial" w:hAnsi="Arial" w:cs="Arial"/>
          <w:sz w:val="24"/>
          <w:szCs w:val="24"/>
        </w:rPr>
        <w:t>gías basadas en el espacio con el fin de</w:t>
      </w:r>
      <w:r w:rsidR="00A868A5" w:rsidRPr="008F486E">
        <w:rPr>
          <w:rFonts w:ascii="Arial" w:hAnsi="Arial" w:cs="Arial"/>
          <w:sz w:val="24"/>
          <w:szCs w:val="24"/>
        </w:rPr>
        <w:t xml:space="preserve"> adoptar medidas innovadoras y oportunas de apoyo a los Estados Miembros en el cumplimiento de los objetivos de los tres programas de desarrollo mundiales</w:t>
      </w:r>
      <w:r w:rsidR="00DB6146" w:rsidRPr="008F486E">
        <w:rPr>
          <w:rFonts w:ascii="Arial" w:hAnsi="Arial" w:cs="Arial"/>
          <w:sz w:val="24"/>
          <w:szCs w:val="24"/>
        </w:rPr>
        <w:t xml:space="preserve"> (Marco de Sendai</w:t>
      </w:r>
      <w:r w:rsidR="00DB6146" w:rsidRPr="008F486E">
        <w:rPr>
          <w:rStyle w:val="Refdenotaalpie"/>
          <w:rFonts w:ascii="Arial" w:hAnsi="Arial" w:cs="Arial"/>
          <w:sz w:val="24"/>
          <w:szCs w:val="24"/>
        </w:rPr>
        <w:footnoteReference w:id="29"/>
      </w:r>
      <w:r w:rsidR="00DB6146" w:rsidRPr="008F486E">
        <w:rPr>
          <w:rFonts w:ascii="Arial" w:hAnsi="Arial" w:cs="Arial"/>
          <w:sz w:val="24"/>
          <w:szCs w:val="24"/>
        </w:rPr>
        <w:t>, Agenda 2030 y Acuerdo de París).</w:t>
      </w:r>
    </w:p>
    <w:p w:rsidR="002C4E21" w:rsidRPr="008F486E" w:rsidRDefault="00C915B5" w:rsidP="008F486E">
      <w:pPr>
        <w:spacing w:line="360" w:lineRule="auto"/>
        <w:ind w:firstLine="360"/>
        <w:jc w:val="both"/>
        <w:rPr>
          <w:rFonts w:ascii="Arial" w:hAnsi="Arial" w:cs="Arial"/>
          <w:i/>
          <w:sz w:val="24"/>
          <w:szCs w:val="24"/>
        </w:rPr>
      </w:pPr>
      <w:r w:rsidRPr="008F486E">
        <w:rPr>
          <w:rFonts w:ascii="Arial" w:hAnsi="Arial" w:cs="Arial"/>
          <w:i/>
          <w:sz w:val="24"/>
          <w:szCs w:val="24"/>
        </w:rPr>
        <w:t>Por último, la Asamblea General r</w:t>
      </w:r>
      <w:r w:rsidR="002C4E21" w:rsidRPr="008F486E">
        <w:rPr>
          <w:rFonts w:ascii="Arial" w:hAnsi="Arial" w:cs="Arial"/>
          <w:i/>
          <w:sz w:val="24"/>
          <w:szCs w:val="24"/>
        </w:rPr>
        <w:t>eafirma la importancia de la cooperación internacional para el fomento del estado de derecho, incluidas las normas relevantes de derecho espacial y la</w:t>
      </w:r>
      <w:r w:rsidR="002C4E21" w:rsidRPr="008F486E">
        <w:rPr>
          <w:rFonts w:ascii="Arial" w:hAnsi="Arial" w:cs="Arial"/>
          <w:b/>
          <w:i/>
          <w:sz w:val="24"/>
          <w:szCs w:val="24"/>
        </w:rPr>
        <w:t xml:space="preserve"> </w:t>
      </w:r>
      <w:r w:rsidR="002C4E21" w:rsidRPr="008F486E">
        <w:rPr>
          <w:rFonts w:ascii="Arial" w:hAnsi="Arial" w:cs="Arial"/>
          <w:i/>
          <w:sz w:val="24"/>
          <w:szCs w:val="24"/>
        </w:rPr>
        <w:t>importancia de que el mayor número de Estados se adhiera a los Tratados Internacionales que promueven la utilización del espacio ultraterrestre con fines pacíficos.</w:t>
      </w:r>
      <w:r w:rsidR="00A736CF" w:rsidRPr="008F486E">
        <w:rPr>
          <w:rFonts w:ascii="Arial" w:hAnsi="Arial" w:cs="Arial"/>
          <w:sz w:val="24"/>
          <w:szCs w:val="24"/>
        </w:rPr>
        <w:t xml:space="preserve"> </w:t>
      </w:r>
    </w:p>
    <w:p w:rsidR="004D69F1" w:rsidRPr="008F486E" w:rsidRDefault="002C4E21" w:rsidP="008F486E">
      <w:pPr>
        <w:pStyle w:val="Prrafodelista"/>
        <w:numPr>
          <w:ilvl w:val="0"/>
          <w:numId w:val="40"/>
        </w:numPr>
        <w:spacing w:line="360" w:lineRule="auto"/>
        <w:jc w:val="both"/>
        <w:rPr>
          <w:rFonts w:ascii="Arial" w:hAnsi="Arial" w:cs="Arial"/>
          <w:i/>
          <w:sz w:val="24"/>
          <w:szCs w:val="24"/>
        </w:rPr>
      </w:pPr>
      <w:r w:rsidRPr="008F486E">
        <w:rPr>
          <w:rFonts w:ascii="Arial" w:hAnsi="Arial" w:cs="Arial"/>
          <w:i/>
          <w:sz w:val="24"/>
          <w:szCs w:val="24"/>
        </w:rPr>
        <w:t>Convenios espaciales</w:t>
      </w:r>
      <w:r w:rsidR="004D69F1" w:rsidRPr="008F486E">
        <w:rPr>
          <w:rFonts w:ascii="Arial" w:hAnsi="Arial" w:cs="Arial"/>
          <w:i/>
          <w:sz w:val="24"/>
          <w:szCs w:val="24"/>
        </w:rPr>
        <w:t xml:space="preserve"> al amparo de las Naciones Unidas</w:t>
      </w:r>
    </w:p>
    <w:p w:rsidR="006776D4" w:rsidRPr="008F486E" w:rsidRDefault="004D69F1" w:rsidP="008F486E">
      <w:pPr>
        <w:spacing w:line="360" w:lineRule="auto"/>
        <w:jc w:val="both"/>
        <w:rPr>
          <w:rFonts w:ascii="Arial" w:hAnsi="Arial" w:cs="Arial"/>
          <w:sz w:val="24"/>
          <w:szCs w:val="24"/>
        </w:rPr>
      </w:pPr>
      <w:r w:rsidRPr="008F486E">
        <w:rPr>
          <w:rFonts w:ascii="Arial" w:hAnsi="Arial" w:cs="Arial"/>
          <w:i/>
          <w:sz w:val="24"/>
          <w:szCs w:val="24"/>
        </w:rPr>
        <w:t xml:space="preserve">a.1) </w:t>
      </w:r>
      <w:r w:rsidR="004D49AD" w:rsidRPr="008F486E">
        <w:rPr>
          <w:rFonts w:ascii="Arial" w:hAnsi="Arial" w:cs="Arial"/>
          <w:i/>
          <w:sz w:val="24"/>
          <w:szCs w:val="24"/>
        </w:rPr>
        <w:t>El Tratado del E</w:t>
      </w:r>
      <w:r w:rsidRPr="008F486E">
        <w:rPr>
          <w:rFonts w:ascii="Arial" w:hAnsi="Arial" w:cs="Arial"/>
          <w:i/>
          <w:sz w:val="24"/>
          <w:szCs w:val="24"/>
        </w:rPr>
        <w:t>spacio</w:t>
      </w:r>
      <w:r w:rsidR="004D49AD" w:rsidRPr="008F486E">
        <w:rPr>
          <w:rFonts w:ascii="Arial" w:hAnsi="Arial" w:cs="Arial"/>
          <w:i/>
          <w:sz w:val="24"/>
          <w:szCs w:val="24"/>
        </w:rPr>
        <w:t>,</w:t>
      </w:r>
      <w:r w:rsidRPr="008F486E">
        <w:rPr>
          <w:rFonts w:ascii="Arial" w:hAnsi="Arial" w:cs="Arial"/>
          <w:i/>
          <w:sz w:val="24"/>
          <w:szCs w:val="24"/>
        </w:rPr>
        <w:t xml:space="preserve"> de </w:t>
      </w:r>
      <w:r w:rsidR="004D49AD" w:rsidRPr="008F486E">
        <w:rPr>
          <w:rFonts w:ascii="Arial" w:hAnsi="Arial" w:cs="Arial"/>
          <w:i/>
          <w:sz w:val="24"/>
          <w:szCs w:val="24"/>
        </w:rPr>
        <w:t xml:space="preserve">27 de enero de </w:t>
      </w:r>
      <w:r w:rsidRPr="008F486E">
        <w:rPr>
          <w:rFonts w:ascii="Arial" w:hAnsi="Arial" w:cs="Arial"/>
          <w:i/>
          <w:sz w:val="24"/>
          <w:szCs w:val="24"/>
        </w:rPr>
        <w:t>1967</w:t>
      </w:r>
      <w:r w:rsidR="00607903" w:rsidRPr="008F486E">
        <w:rPr>
          <w:rFonts w:ascii="Arial" w:hAnsi="Arial" w:cs="Arial"/>
          <w:i/>
          <w:sz w:val="24"/>
          <w:szCs w:val="24"/>
        </w:rPr>
        <w:t xml:space="preserve">, </w:t>
      </w:r>
      <w:r w:rsidR="00607903" w:rsidRPr="008F486E">
        <w:rPr>
          <w:rFonts w:ascii="Arial" w:hAnsi="Arial" w:cs="Arial"/>
          <w:sz w:val="24"/>
          <w:szCs w:val="24"/>
        </w:rPr>
        <w:t>a</w:t>
      </w:r>
      <w:r w:rsidR="004D49AD" w:rsidRPr="008F486E">
        <w:rPr>
          <w:rFonts w:ascii="Arial" w:hAnsi="Arial" w:cs="Arial"/>
          <w:sz w:val="24"/>
          <w:szCs w:val="24"/>
        </w:rPr>
        <w:t>probado por la AGNU en su Resolución 2222(XXI), de 19 de diciembre de 1966</w:t>
      </w:r>
      <w:r w:rsidR="007560BC" w:rsidRPr="008F486E">
        <w:rPr>
          <w:rStyle w:val="Refdenotaalpie"/>
          <w:rFonts w:ascii="Arial" w:hAnsi="Arial" w:cs="Arial"/>
          <w:sz w:val="24"/>
          <w:szCs w:val="24"/>
        </w:rPr>
        <w:footnoteReference w:id="30"/>
      </w:r>
      <w:r w:rsidR="004D49AD" w:rsidRPr="008F486E">
        <w:rPr>
          <w:rFonts w:ascii="Arial" w:hAnsi="Arial" w:cs="Arial"/>
          <w:sz w:val="24"/>
          <w:szCs w:val="24"/>
        </w:rPr>
        <w:t>.</w:t>
      </w:r>
      <w:r w:rsidR="004962DD" w:rsidRPr="008F486E">
        <w:rPr>
          <w:rFonts w:ascii="Arial" w:hAnsi="Arial" w:cs="Arial"/>
          <w:sz w:val="24"/>
          <w:szCs w:val="24"/>
        </w:rPr>
        <w:t xml:space="preserve"> </w:t>
      </w:r>
      <w:r w:rsidR="00137B04" w:rsidRPr="008F486E">
        <w:rPr>
          <w:rFonts w:ascii="Arial" w:hAnsi="Arial" w:cs="Arial"/>
          <w:sz w:val="24"/>
          <w:szCs w:val="24"/>
        </w:rPr>
        <w:t>El Tratado del Espacio de 1967      (</w:t>
      </w:r>
      <w:r w:rsidR="009C1030" w:rsidRPr="008F486E">
        <w:rPr>
          <w:rFonts w:ascii="Arial" w:hAnsi="Arial" w:cs="Arial"/>
          <w:sz w:val="24"/>
          <w:szCs w:val="24"/>
        </w:rPr>
        <w:t>Tratado</w:t>
      </w:r>
      <w:r w:rsidR="005D016E" w:rsidRPr="008F486E">
        <w:rPr>
          <w:rFonts w:ascii="Arial" w:hAnsi="Arial" w:cs="Arial"/>
          <w:sz w:val="24"/>
          <w:szCs w:val="24"/>
        </w:rPr>
        <w:t xml:space="preserve"> sobre los principios que deben regir las actividades de los Estados</w:t>
      </w:r>
      <w:r w:rsidR="009C1030" w:rsidRPr="008F486E">
        <w:rPr>
          <w:rFonts w:ascii="Arial" w:hAnsi="Arial" w:cs="Arial"/>
          <w:sz w:val="24"/>
          <w:szCs w:val="24"/>
        </w:rPr>
        <w:t xml:space="preserve"> en la exploración y utilización del espacio ultraterrestre, incluso l</w:t>
      </w:r>
      <w:r w:rsidR="008D4EFC" w:rsidRPr="008F486E">
        <w:rPr>
          <w:rFonts w:ascii="Arial" w:hAnsi="Arial" w:cs="Arial"/>
          <w:sz w:val="24"/>
          <w:szCs w:val="24"/>
        </w:rPr>
        <w:t>a Luna y otros cuerpos celestes</w:t>
      </w:r>
      <w:r w:rsidR="00137B04" w:rsidRPr="008F486E">
        <w:rPr>
          <w:rFonts w:ascii="Arial" w:hAnsi="Arial" w:cs="Arial"/>
          <w:sz w:val="24"/>
          <w:szCs w:val="24"/>
        </w:rPr>
        <w:t>)</w:t>
      </w:r>
      <w:r w:rsidR="008D4EFC" w:rsidRPr="008F486E">
        <w:rPr>
          <w:rFonts w:ascii="Arial" w:hAnsi="Arial" w:cs="Arial"/>
          <w:sz w:val="24"/>
          <w:szCs w:val="24"/>
        </w:rPr>
        <w:t xml:space="preserve">, </w:t>
      </w:r>
      <w:r w:rsidR="009C1030" w:rsidRPr="008F486E">
        <w:rPr>
          <w:rFonts w:ascii="Arial" w:hAnsi="Arial" w:cs="Arial"/>
          <w:sz w:val="24"/>
          <w:szCs w:val="24"/>
        </w:rPr>
        <w:t>también llamado C</w:t>
      </w:r>
      <w:r w:rsidR="005D016E" w:rsidRPr="008F486E">
        <w:rPr>
          <w:rFonts w:ascii="Arial" w:hAnsi="Arial" w:cs="Arial"/>
          <w:sz w:val="24"/>
          <w:szCs w:val="24"/>
        </w:rPr>
        <w:t xml:space="preserve">arta Magna del Espacio, establece una serie de principios generales que son de aplicación a cualquier actividad </w:t>
      </w:r>
      <w:r w:rsidR="005D016E" w:rsidRPr="008F486E">
        <w:rPr>
          <w:rFonts w:ascii="Arial" w:hAnsi="Arial" w:cs="Arial"/>
          <w:sz w:val="24"/>
          <w:szCs w:val="24"/>
        </w:rPr>
        <w:lastRenderedPageBreak/>
        <w:t xml:space="preserve">llevada a cabo en el espacio ultraterrestre, </w:t>
      </w:r>
      <w:r w:rsidR="00607903" w:rsidRPr="008F486E">
        <w:rPr>
          <w:rFonts w:ascii="Arial" w:hAnsi="Arial" w:cs="Arial"/>
          <w:sz w:val="24"/>
          <w:szCs w:val="24"/>
        </w:rPr>
        <w:t xml:space="preserve">y </w:t>
      </w:r>
      <w:r w:rsidR="00C43172" w:rsidRPr="008F486E">
        <w:rPr>
          <w:rFonts w:ascii="Arial" w:hAnsi="Arial" w:cs="Arial"/>
          <w:sz w:val="24"/>
          <w:szCs w:val="24"/>
        </w:rPr>
        <w:t>donde la mayoría</w:t>
      </w:r>
      <w:r w:rsidR="005D016E" w:rsidRPr="008F486E">
        <w:rPr>
          <w:rFonts w:ascii="Arial" w:hAnsi="Arial" w:cs="Arial"/>
          <w:sz w:val="24"/>
          <w:szCs w:val="24"/>
        </w:rPr>
        <w:t xml:space="preserve"> pueden considerarse como derecho internacional consuetudinario</w:t>
      </w:r>
      <w:r w:rsidR="006E080D" w:rsidRPr="008F486E">
        <w:rPr>
          <w:rStyle w:val="Refdenotaalpie"/>
          <w:rFonts w:ascii="Arial" w:hAnsi="Arial" w:cs="Arial"/>
          <w:sz w:val="24"/>
          <w:szCs w:val="24"/>
        </w:rPr>
        <w:footnoteReference w:id="31"/>
      </w:r>
      <w:r w:rsidR="005D016E" w:rsidRPr="008F486E">
        <w:rPr>
          <w:rFonts w:ascii="Arial" w:hAnsi="Arial" w:cs="Arial"/>
          <w:sz w:val="24"/>
          <w:szCs w:val="24"/>
        </w:rPr>
        <w:t>. Parte de estos principios vendrán desarrollados por los Convenios espaciales posteriores (Salvamento, Responsabilidad, Registro y Luna), y son los siguient</w:t>
      </w:r>
      <w:r w:rsidR="00607903" w:rsidRPr="008F486E">
        <w:rPr>
          <w:rFonts w:ascii="Arial" w:hAnsi="Arial" w:cs="Arial"/>
          <w:sz w:val="24"/>
          <w:szCs w:val="24"/>
        </w:rPr>
        <w:t>es : l</w:t>
      </w:r>
      <w:r w:rsidR="005D016E" w:rsidRPr="008F486E">
        <w:rPr>
          <w:rFonts w:ascii="Arial" w:hAnsi="Arial" w:cs="Arial"/>
          <w:sz w:val="24"/>
          <w:szCs w:val="24"/>
        </w:rPr>
        <w:t>a exploración y utilización del espacio ultraterrestre deberá hacerse en provecho e interés de todos los países e</w:t>
      </w:r>
      <w:r w:rsidR="0073106F" w:rsidRPr="008F486E">
        <w:rPr>
          <w:rFonts w:ascii="Arial" w:hAnsi="Arial" w:cs="Arial"/>
          <w:sz w:val="24"/>
          <w:szCs w:val="24"/>
        </w:rPr>
        <w:t xml:space="preserve"> incumben a toda la humanidad; L</w:t>
      </w:r>
      <w:r w:rsidR="005D016E" w:rsidRPr="008F486E">
        <w:rPr>
          <w:rFonts w:ascii="Arial" w:hAnsi="Arial" w:cs="Arial"/>
          <w:sz w:val="24"/>
          <w:szCs w:val="24"/>
        </w:rPr>
        <w:t>ibertad de acceso de todos los países en condiciones de igualdad y de conformidad con el derecho internaci</w:t>
      </w:r>
      <w:r w:rsidR="0073106F" w:rsidRPr="008F486E">
        <w:rPr>
          <w:rFonts w:ascii="Arial" w:hAnsi="Arial" w:cs="Arial"/>
          <w:sz w:val="24"/>
          <w:szCs w:val="24"/>
        </w:rPr>
        <w:t>onal; C</w:t>
      </w:r>
      <w:r w:rsidR="005D016E" w:rsidRPr="008F486E">
        <w:rPr>
          <w:rFonts w:ascii="Arial" w:hAnsi="Arial" w:cs="Arial"/>
          <w:sz w:val="24"/>
          <w:szCs w:val="24"/>
        </w:rPr>
        <w:t>ooperación internacional en la investigación científica</w:t>
      </w:r>
      <w:r w:rsidR="0073106F" w:rsidRPr="008F486E">
        <w:rPr>
          <w:rFonts w:ascii="Arial" w:hAnsi="Arial" w:cs="Arial"/>
          <w:sz w:val="24"/>
          <w:szCs w:val="24"/>
        </w:rPr>
        <w:t>; No apropiación nacional</w:t>
      </w:r>
      <w:r w:rsidR="00AD6636" w:rsidRPr="008F486E">
        <w:rPr>
          <w:rStyle w:val="Refdenotaalpie"/>
          <w:rFonts w:ascii="Arial" w:hAnsi="Arial" w:cs="Arial"/>
          <w:sz w:val="24"/>
          <w:szCs w:val="24"/>
        </w:rPr>
        <w:footnoteReference w:id="32"/>
      </w:r>
      <w:r w:rsidR="0073106F" w:rsidRPr="008F486E">
        <w:rPr>
          <w:rFonts w:ascii="Arial" w:hAnsi="Arial" w:cs="Arial"/>
          <w:sz w:val="24"/>
          <w:szCs w:val="24"/>
        </w:rPr>
        <w:t xml:space="preserve"> y principio de reciprocidad, desarrollados por el Acuerdo sobre la Luna de 1979; Uso pacífico de las actividades que se desarrollen en el espacio ultraterrestre; Astronautas como enviados de la humanidad, que son los sujetos activos de las actividades llevadas a cabo en el espacio ultraterrestre y que vendrá desarr</w:t>
      </w:r>
      <w:r w:rsidR="009C1030" w:rsidRPr="008F486E">
        <w:rPr>
          <w:rFonts w:ascii="Arial" w:hAnsi="Arial" w:cs="Arial"/>
          <w:sz w:val="24"/>
          <w:szCs w:val="24"/>
        </w:rPr>
        <w:t>ollado por el Acuerdo sobre el S</w:t>
      </w:r>
      <w:r w:rsidR="0073106F" w:rsidRPr="008F486E">
        <w:rPr>
          <w:rFonts w:ascii="Arial" w:hAnsi="Arial" w:cs="Arial"/>
          <w:sz w:val="24"/>
          <w:szCs w:val="24"/>
        </w:rPr>
        <w:t>alvamento de 1968; Los Estados no deberán crear obstáculos capaces de perjudicar las actividades de los demás Estados Partes y procederán a la exploración del espacio ultraterrestre, la Luna y otros cuerpos celestes de tal forma que no se produzca una contaminación nociva ni cambios desfavorables en el medio ambiente de la Tierra</w:t>
      </w:r>
      <w:r w:rsidR="00C915B5" w:rsidRPr="008F486E">
        <w:rPr>
          <w:rFonts w:ascii="Arial" w:hAnsi="Arial" w:cs="Arial"/>
          <w:sz w:val="24"/>
          <w:szCs w:val="24"/>
        </w:rPr>
        <w:t xml:space="preserve"> y espacial</w:t>
      </w:r>
      <w:r w:rsidR="0073106F" w:rsidRPr="008F486E">
        <w:rPr>
          <w:rFonts w:ascii="Arial" w:hAnsi="Arial" w:cs="Arial"/>
          <w:sz w:val="24"/>
          <w:szCs w:val="24"/>
        </w:rPr>
        <w:t>; Los Estados deberán informar, e</w:t>
      </w:r>
      <w:r w:rsidR="00F619A3" w:rsidRPr="008F486E">
        <w:rPr>
          <w:rFonts w:ascii="Arial" w:hAnsi="Arial" w:cs="Arial"/>
          <w:sz w:val="24"/>
          <w:szCs w:val="24"/>
        </w:rPr>
        <w:t>n la medida de los posible, al S</w:t>
      </w:r>
      <w:r w:rsidR="0073106F" w:rsidRPr="008F486E">
        <w:rPr>
          <w:rFonts w:ascii="Arial" w:hAnsi="Arial" w:cs="Arial"/>
          <w:sz w:val="24"/>
          <w:szCs w:val="24"/>
        </w:rPr>
        <w:t>ecretario General de las Naciones Unidas, al Público y a la Comunidad Científica Internacional, de los resultados obtenidos de las actividades llevadas a cabo en el espacio ultraterrestre; Responsabilidad internacional de los Estados por las actividades nacionales que realicen en el espacio ultraterrestre sus organismos gubernamentales o entidades no</w:t>
      </w:r>
      <w:r w:rsidR="00F619A3" w:rsidRPr="008F486E">
        <w:rPr>
          <w:rFonts w:ascii="Arial" w:hAnsi="Arial" w:cs="Arial"/>
          <w:sz w:val="24"/>
          <w:szCs w:val="24"/>
        </w:rPr>
        <w:t xml:space="preserve"> gubernamentales; R</w:t>
      </w:r>
      <w:r w:rsidR="0073106F" w:rsidRPr="008F486E">
        <w:rPr>
          <w:rFonts w:ascii="Arial" w:hAnsi="Arial" w:cs="Arial"/>
          <w:sz w:val="24"/>
          <w:szCs w:val="24"/>
        </w:rPr>
        <w:t>esponsabilidad internacional del Estado de lanzamiento por los daños causados por objetos espaciales a otro Estado, o a sus personas naturales o jurídicas, desarro</w:t>
      </w:r>
      <w:r w:rsidR="009C1030" w:rsidRPr="008F486E">
        <w:rPr>
          <w:rFonts w:ascii="Arial" w:hAnsi="Arial" w:cs="Arial"/>
          <w:sz w:val="24"/>
          <w:szCs w:val="24"/>
        </w:rPr>
        <w:t>llado por el Convenio sobre la R</w:t>
      </w:r>
      <w:r w:rsidR="0073106F" w:rsidRPr="008F486E">
        <w:rPr>
          <w:rFonts w:ascii="Arial" w:hAnsi="Arial" w:cs="Arial"/>
          <w:sz w:val="24"/>
          <w:szCs w:val="24"/>
        </w:rPr>
        <w:t>esponsabilidad de 1972; El Estado de Registro</w:t>
      </w:r>
      <w:r w:rsidR="00F619A3" w:rsidRPr="008F486E">
        <w:rPr>
          <w:rFonts w:ascii="Arial" w:hAnsi="Arial" w:cs="Arial"/>
          <w:sz w:val="24"/>
          <w:szCs w:val="24"/>
        </w:rPr>
        <w:t xml:space="preserve"> de un objeto espacial retendrá jurisdicción y control sobre tal objeto y sobre todo el personal que vaya en él</w:t>
      </w:r>
      <w:r w:rsidR="009C1030" w:rsidRPr="008F486E">
        <w:rPr>
          <w:rFonts w:ascii="Arial" w:hAnsi="Arial" w:cs="Arial"/>
          <w:sz w:val="24"/>
          <w:szCs w:val="24"/>
        </w:rPr>
        <w:t xml:space="preserve"> </w:t>
      </w:r>
      <w:r w:rsidR="00761C9D" w:rsidRPr="008F486E">
        <w:rPr>
          <w:rFonts w:ascii="Arial" w:hAnsi="Arial" w:cs="Arial"/>
          <w:sz w:val="24"/>
          <w:szCs w:val="24"/>
        </w:rPr>
        <w:t xml:space="preserve">– y </w:t>
      </w:r>
      <w:r w:rsidR="00F619A3" w:rsidRPr="008F486E">
        <w:rPr>
          <w:rFonts w:ascii="Arial" w:hAnsi="Arial" w:cs="Arial"/>
          <w:sz w:val="24"/>
          <w:szCs w:val="24"/>
        </w:rPr>
        <w:t>deber de registro de un objeto espacial-</w:t>
      </w:r>
      <w:r w:rsidR="009C1030" w:rsidRPr="008F486E">
        <w:rPr>
          <w:rFonts w:ascii="Arial" w:hAnsi="Arial" w:cs="Arial"/>
          <w:sz w:val="24"/>
          <w:szCs w:val="24"/>
        </w:rPr>
        <w:t xml:space="preserve"> </w:t>
      </w:r>
      <w:r w:rsidR="00F619A3" w:rsidRPr="008F486E">
        <w:rPr>
          <w:rFonts w:ascii="Arial" w:hAnsi="Arial" w:cs="Arial"/>
          <w:sz w:val="24"/>
          <w:szCs w:val="24"/>
        </w:rPr>
        <w:t>desarrollado por el Convenio sobre el Registro de 1975.</w:t>
      </w:r>
    </w:p>
    <w:p w:rsidR="006E080D" w:rsidRPr="008F486E" w:rsidRDefault="00F619A3" w:rsidP="008F486E">
      <w:pPr>
        <w:spacing w:line="360" w:lineRule="auto"/>
        <w:jc w:val="both"/>
        <w:rPr>
          <w:rFonts w:ascii="Arial" w:hAnsi="Arial" w:cs="Arial"/>
          <w:sz w:val="24"/>
          <w:szCs w:val="24"/>
        </w:rPr>
      </w:pPr>
      <w:r w:rsidRPr="008F486E">
        <w:rPr>
          <w:rFonts w:ascii="Arial" w:hAnsi="Arial" w:cs="Arial"/>
          <w:sz w:val="24"/>
          <w:szCs w:val="24"/>
        </w:rPr>
        <w:lastRenderedPageBreak/>
        <w:t>a.2</w:t>
      </w:r>
      <w:r w:rsidRPr="008F486E">
        <w:rPr>
          <w:rFonts w:ascii="Arial" w:hAnsi="Arial" w:cs="Arial"/>
          <w:i/>
          <w:sz w:val="24"/>
          <w:szCs w:val="24"/>
        </w:rPr>
        <w:t>)</w:t>
      </w:r>
      <w:r w:rsidRPr="008F486E">
        <w:rPr>
          <w:rFonts w:ascii="Arial" w:hAnsi="Arial" w:cs="Arial"/>
          <w:sz w:val="24"/>
          <w:szCs w:val="24"/>
        </w:rPr>
        <w:t xml:space="preserve"> </w:t>
      </w:r>
      <w:r w:rsidRPr="008F486E">
        <w:rPr>
          <w:rFonts w:ascii="Arial" w:hAnsi="Arial" w:cs="Arial"/>
          <w:i/>
          <w:sz w:val="24"/>
          <w:szCs w:val="24"/>
        </w:rPr>
        <w:t>Acuerdo sobre el Salvamento</w:t>
      </w:r>
      <w:r w:rsidR="004D49AD" w:rsidRPr="008F486E">
        <w:rPr>
          <w:rFonts w:ascii="Arial" w:hAnsi="Arial" w:cs="Arial"/>
          <w:i/>
          <w:sz w:val="24"/>
          <w:szCs w:val="24"/>
        </w:rPr>
        <w:t>,</w:t>
      </w:r>
      <w:r w:rsidRPr="008F486E">
        <w:rPr>
          <w:rFonts w:ascii="Arial" w:hAnsi="Arial" w:cs="Arial"/>
          <w:i/>
          <w:sz w:val="24"/>
          <w:szCs w:val="24"/>
        </w:rPr>
        <w:t xml:space="preserve"> de </w:t>
      </w:r>
      <w:r w:rsidR="004D49AD" w:rsidRPr="008F486E">
        <w:rPr>
          <w:rFonts w:ascii="Arial" w:hAnsi="Arial" w:cs="Arial"/>
          <w:i/>
          <w:sz w:val="24"/>
          <w:szCs w:val="24"/>
        </w:rPr>
        <w:t xml:space="preserve">22 de abril de </w:t>
      </w:r>
      <w:r w:rsidR="009C1030" w:rsidRPr="008F486E">
        <w:rPr>
          <w:rFonts w:ascii="Arial" w:hAnsi="Arial" w:cs="Arial"/>
          <w:i/>
          <w:sz w:val="24"/>
          <w:szCs w:val="24"/>
        </w:rPr>
        <w:t>1968</w:t>
      </w:r>
      <w:r w:rsidR="00C43172" w:rsidRPr="008F486E">
        <w:rPr>
          <w:rFonts w:ascii="Arial" w:hAnsi="Arial" w:cs="Arial"/>
          <w:sz w:val="24"/>
          <w:szCs w:val="24"/>
        </w:rPr>
        <w:t>, a</w:t>
      </w:r>
      <w:r w:rsidR="004D49AD" w:rsidRPr="008F486E">
        <w:rPr>
          <w:rFonts w:ascii="Arial" w:hAnsi="Arial" w:cs="Arial"/>
          <w:sz w:val="24"/>
          <w:szCs w:val="24"/>
        </w:rPr>
        <w:t>probado por la AGNU en su resolución 2345(XXII), de 19 de diciembre de 1967</w:t>
      </w:r>
      <w:r w:rsidR="00761C9D" w:rsidRPr="008F486E">
        <w:rPr>
          <w:rStyle w:val="Refdenotaalpie"/>
          <w:rFonts w:ascii="Arial" w:hAnsi="Arial" w:cs="Arial"/>
          <w:sz w:val="24"/>
          <w:szCs w:val="24"/>
        </w:rPr>
        <w:footnoteReference w:id="33"/>
      </w:r>
      <w:r w:rsidR="004D49AD" w:rsidRPr="008F486E">
        <w:rPr>
          <w:rFonts w:ascii="Arial" w:hAnsi="Arial" w:cs="Arial"/>
          <w:sz w:val="24"/>
          <w:szCs w:val="24"/>
        </w:rPr>
        <w:t>.</w:t>
      </w:r>
      <w:r w:rsidR="00137B04" w:rsidRPr="008F486E">
        <w:rPr>
          <w:rFonts w:ascii="Arial" w:hAnsi="Arial" w:cs="Arial"/>
          <w:sz w:val="24"/>
          <w:szCs w:val="24"/>
        </w:rPr>
        <w:t xml:space="preserve"> </w:t>
      </w:r>
      <w:r w:rsidRPr="008F486E">
        <w:rPr>
          <w:rFonts w:ascii="Arial" w:hAnsi="Arial" w:cs="Arial"/>
          <w:sz w:val="24"/>
          <w:szCs w:val="24"/>
        </w:rPr>
        <w:t>De conformidad con el Acuerdo sobre el Salvamento de 1968 (Acuerdo sobre el salvamento y la devolución de astronautas y la restitución de objetos lanzados al espacio ultraterrestre), las Partes han previsto procedimientos para prestar ayuda a las tripulaciones de las naves espaciales en caso de accidente o aterrizaje de emergencia, la devolución de astronautas con seguridad y sin demora así como la restitución de objetos lanzados al espacio ultraterrestre y siempre animados por un sentimiento de humanidad. Este sentimiento de humanidad se hace extensivo al deber de salvamento hacia aquellas personas que no siendo parte formalmente de la tripulación de un vehículo espacial, se encuentren en él, como son los turistas espaciales.</w:t>
      </w:r>
    </w:p>
    <w:p w:rsidR="00B874FC" w:rsidRPr="008F486E" w:rsidRDefault="00F619A3" w:rsidP="008F486E">
      <w:pPr>
        <w:spacing w:line="360" w:lineRule="auto"/>
        <w:jc w:val="both"/>
        <w:rPr>
          <w:rFonts w:ascii="Arial" w:hAnsi="Arial" w:cs="Arial"/>
          <w:sz w:val="24"/>
          <w:szCs w:val="24"/>
        </w:rPr>
      </w:pPr>
      <w:r w:rsidRPr="008F486E">
        <w:rPr>
          <w:rFonts w:ascii="Arial" w:hAnsi="Arial" w:cs="Arial"/>
          <w:sz w:val="24"/>
          <w:szCs w:val="24"/>
        </w:rPr>
        <w:t xml:space="preserve">a.3) </w:t>
      </w:r>
      <w:r w:rsidRPr="008F486E">
        <w:rPr>
          <w:rFonts w:ascii="Arial" w:hAnsi="Arial" w:cs="Arial"/>
          <w:i/>
          <w:sz w:val="24"/>
          <w:szCs w:val="24"/>
        </w:rPr>
        <w:t>Convenio sobre la Responsabilidad</w:t>
      </w:r>
      <w:r w:rsidR="004D49AD" w:rsidRPr="008F486E">
        <w:rPr>
          <w:rFonts w:ascii="Arial" w:hAnsi="Arial" w:cs="Arial"/>
          <w:i/>
          <w:sz w:val="24"/>
          <w:szCs w:val="24"/>
        </w:rPr>
        <w:t>,</w:t>
      </w:r>
      <w:r w:rsidRPr="008F486E">
        <w:rPr>
          <w:rFonts w:ascii="Arial" w:hAnsi="Arial" w:cs="Arial"/>
          <w:i/>
          <w:sz w:val="24"/>
          <w:szCs w:val="24"/>
        </w:rPr>
        <w:t xml:space="preserve"> de </w:t>
      </w:r>
      <w:r w:rsidR="004D49AD" w:rsidRPr="008F486E">
        <w:rPr>
          <w:rFonts w:ascii="Arial" w:hAnsi="Arial" w:cs="Arial"/>
          <w:i/>
          <w:sz w:val="24"/>
          <w:szCs w:val="24"/>
        </w:rPr>
        <w:t xml:space="preserve">29 de marzo de </w:t>
      </w:r>
      <w:r w:rsidRPr="008F486E">
        <w:rPr>
          <w:rFonts w:ascii="Arial" w:hAnsi="Arial" w:cs="Arial"/>
          <w:i/>
          <w:sz w:val="24"/>
          <w:szCs w:val="24"/>
        </w:rPr>
        <w:t>1972</w:t>
      </w:r>
      <w:r w:rsidR="00C43172" w:rsidRPr="008F486E">
        <w:rPr>
          <w:rFonts w:ascii="Arial" w:hAnsi="Arial" w:cs="Arial"/>
          <w:sz w:val="24"/>
          <w:szCs w:val="24"/>
        </w:rPr>
        <w:t>, a</w:t>
      </w:r>
      <w:r w:rsidR="004D49AD" w:rsidRPr="008F486E">
        <w:rPr>
          <w:rFonts w:ascii="Arial" w:hAnsi="Arial" w:cs="Arial"/>
          <w:sz w:val="24"/>
          <w:szCs w:val="24"/>
        </w:rPr>
        <w:t>probado por la AGNU en su resolución 2777(XXVI), de 29 de noviembre de 1971</w:t>
      </w:r>
      <w:r w:rsidR="00761C9D" w:rsidRPr="008F486E">
        <w:rPr>
          <w:rStyle w:val="Refdenotaalpie"/>
          <w:rFonts w:ascii="Arial" w:hAnsi="Arial" w:cs="Arial"/>
          <w:sz w:val="24"/>
          <w:szCs w:val="24"/>
        </w:rPr>
        <w:footnoteReference w:id="34"/>
      </w:r>
      <w:r w:rsidR="004D49AD" w:rsidRPr="008F486E">
        <w:rPr>
          <w:rFonts w:ascii="Arial" w:hAnsi="Arial" w:cs="Arial"/>
          <w:sz w:val="24"/>
          <w:szCs w:val="24"/>
        </w:rPr>
        <w:t>.</w:t>
      </w:r>
      <w:r w:rsidRPr="008F486E">
        <w:rPr>
          <w:rFonts w:ascii="Arial" w:hAnsi="Arial" w:cs="Arial"/>
          <w:sz w:val="24"/>
          <w:szCs w:val="24"/>
        </w:rPr>
        <w:t>En virtud del Convenio sobre la Responsabilidad de 1972 (Con</w:t>
      </w:r>
      <w:r w:rsidR="00C915B5" w:rsidRPr="008F486E">
        <w:rPr>
          <w:rFonts w:ascii="Arial" w:hAnsi="Arial" w:cs="Arial"/>
          <w:sz w:val="24"/>
          <w:szCs w:val="24"/>
        </w:rPr>
        <w:t>venio sobre la responsabilidad i</w:t>
      </w:r>
      <w:r w:rsidRPr="008F486E">
        <w:rPr>
          <w:rFonts w:ascii="Arial" w:hAnsi="Arial" w:cs="Arial"/>
          <w:sz w:val="24"/>
          <w:szCs w:val="24"/>
        </w:rPr>
        <w:t>nternacional por daños causados por objetos espaciales), los Estados Partes</w:t>
      </w:r>
      <w:r w:rsidR="0045394C" w:rsidRPr="008F486E">
        <w:rPr>
          <w:rFonts w:ascii="Arial" w:hAnsi="Arial" w:cs="Arial"/>
          <w:sz w:val="24"/>
          <w:szCs w:val="24"/>
        </w:rPr>
        <w:t xml:space="preserve"> son plenamente conscientes de que el lanzamiento de objetos espaciales, tanto por los Estados como por organizaciones internacionales intergubernamentales (agencias espaciales), supone una actividad ultra-peligrosa y pueden causar daños</w:t>
      </w:r>
      <w:r w:rsidR="006776D4" w:rsidRPr="008F486E">
        <w:rPr>
          <w:rStyle w:val="Refdenotaalpie"/>
          <w:rFonts w:ascii="Arial" w:hAnsi="Arial" w:cs="Arial"/>
          <w:sz w:val="24"/>
          <w:szCs w:val="24"/>
        </w:rPr>
        <w:footnoteReference w:id="35"/>
      </w:r>
      <w:r w:rsidR="0045394C" w:rsidRPr="008F486E">
        <w:rPr>
          <w:rFonts w:ascii="Arial" w:hAnsi="Arial" w:cs="Arial"/>
          <w:sz w:val="24"/>
          <w:szCs w:val="24"/>
        </w:rPr>
        <w:t xml:space="preserve"> a pesar de las medidas de precaución que se adopten, por este motivo, se deben establecer normas y procedimientos in</w:t>
      </w:r>
      <w:r w:rsidR="00FA68CF" w:rsidRPr="008F486E">
        <w:rPr>
          <w:rFonts w:ascii="Arial" w:hAnsi="Arial" w:cs="Arial"/>
          <w:sz w:val="24"/>
          <w:szCs w:val="24"/>
        </w:rPr>
        <w:t>ternacionales que hagan frente tanto a la responsabilidad absoluta como por culpa</w:t>
      </w:r>
      <w:r w:rsidR="0045394C" w:rsidRPr="008F486E">
        <w:rPr>
          <w:rFonts w:ascii="Arial" w:hAnsi="Arial" w:cs="Arial"/>
          <w:sz w:val="24"/>
          <w:szCs w:val="24"/>
        </w:rPr>
        <w:t xml:space="preserve"> que se genera</w:t>
      </w:r>
      <w:r w:rsidR="00FA68CF" w:rsidRPr="008F486E">
        <w:rPr>
          <w:rFonts w:ascii="Arial" w:hAnsi="Arial" w:cs="Arial"/>
          <w:sz w:val="24"/>
          <w:szCs w:val="24"/>
        </w:rPr>
        <w:t>n</w:t>
      </w:r>
      <w:r w:rsidR="0045394C" w:rsidRPr="008F486E">
        <w:rPr>
          <w:rFonts w:ascii="Arial" w:hAnsi="Arial" w:cs="Arial"/>
          <w:sz w:val="24"/>
          <w:szCs w:val="24"/>
        </w:rPr>
        <w:t xml:space="preserve"> como consecuencia de aquellos daños que sean causados por objetos espaciales, asegurando una indemnización plena y equitativa a las víctimas</w:t>
      </w:r>
      <w:r w:rsidR="00A736CF" w:rsidRPr="008F486E">
        <w:rPr>
          <w:rFonts w:ascii="Arial" w:hAnsi="Arial" w:cs="Arial"/>
          <w:sz w:val="24"/>
          <w:szCs w:val="24"/>
        </w:rPr>
        <w:t>. El Convenio establece que el E</w:t>
      </w:r>
      <w:r w:rsidR="0045394C" w:rsidRPr="008F486E">
        <w:rPr>
          <w:rFonts w:ascii="Arial" w:hAnsi="Arial" w:cs="Arial"/>
          <w:sz w:val="24"/>
          <w:szCs w:val="24"/>
        </w:rPr>
        <w:t xml:space="preserve">stado demandante podrá elegir el medio de interponer su reclamación de indemnización por daños, bien agotando los recursos locales de que disponga éste o las personas físicas o morales a quien este represente, bien ante los tribunales de justicia o administrativos del Estado de lanzamiento, o bien constituyéndose una </w:t>
      </w:r>
      <w:r w:rsidR="0045394C" w:rsidRPr="008F486E">
        <w:rPr>
          <w:rFonts w:ascii="Arial" w:hAnsi="Arial" w:cs="Arial"/>
          <w:sz w:val="24"/>
          <w:szCs w:val="24"/>
        </w:rPr>
        <w:lastRenderedPageBreak/>
        <w:t xml:space="preserve">Comisión de Reclamaciones. El problema es que el informe de la Comisión no es vinculante jurídicamente para las Partes, salvo que estas acuerden lo contrario. En virtud del artículo 33.1 de la Carta de las Naciones Unidas, los medios de solución pacífica de controversias a las que </w:t>
      </w:r>
      <w:r w:rsidR="00A9538C" w:rsidRPr="008F486E">
        <w:rPr>
          <w:rFonts w:ascii="Arial" w:hAnsi="Arial" w:cs="Arial"/>
          <w:sz w:val="24"/>
          <w:szCs w:val="24"/>
        </w:rPr>
        <w:t>pueden recurrir los Estados son</w:t>
      </w:r>
      <w:r w:rsidR="0045394C" w:rsidRPr="008F486E">
        <w:rPr>
          <w:rFonts w:ascii="Arial" w:hAnsi="Arial" w:cs="Arial"/>
          <w:sz w:val="24"/>
          <w:szCs w:val="24"/>
        </w:rPr>
        <w:t>: la negociación, la investigación de los hechos, la mediación, la conciliación, el arbitraje, el arreglo judicial, el recurso a organismos o acuerdos regionales u otros medios pacíficos. A este respecto, y como complemento a estos medios, recientemente, la Corte Permanente de Arbitraje</w:t>
      </w:r>
      <w:r w:rsidR="00C15ECA" w:rsidRPr="008F486E">
        <w:rPr>
          <w:rFonts w:ascii="Arial" w:hAnsi="Arial" w:cs="Arial"/>
          <w:sz w:val="24"/>
          <w:szCs w:val="24"/>
        </w:rPr>
        <w:t xml:space="preserve"> ha aprobado las “Reglas opcionales para el arbitraje de controversias relativas a las actividades espaciales”, actividades que son llevadas a cabo por Estados, Organizaciones Internacionales y entidades privadas, siendo efectivas desde el 6 de diciembre de 2011.</w:t>
      </w:r>
    </w:p>
    <w:p w:rsidR="00F116AC" w:rsidRPr="008F486E" w:rsidRDefault="00AA7339" w:rsidP="008F486E">
      <w:pPr>
        <w:spacing w:line="360" w:lineRule="auto"/>
        <w:jc w:val="both"/>
        <w:rPr>
          <w:rFonts w:ascii="Arial" w:hAnsi="Arial" w:cs="Arial"/>
          <w:sz w:val="24"/>
          <w:szCs w:val="24"/>
        </w:rPr>
      </w:pPr>
      <w:r w:rsidRPr="008F486E">
        <w:rPr>
          <w:rFonts w:ascii="Arial" w:hAnsi="Arial" w:cs="Arial"/>
          <w:sz w:val="24"/>
          <w:szCs w:val="24"/>
        </w:rPr>
        <w:t>a.4</w:t>
      </w:r>
      <w:r w:rsidR="00B874FC" w:rsidRPr="008F486E">
        <w:rPr>
          <w:rFonts w:ascii="Arial" w:hAnsi="Arial" w:cs="Arial"/>
          <w:sz w:val="24"/>
          <w:szCs w:val="24"/>
        </w:rPr>
        <w:t xml:space="preserve">) </w:t>
      </w:r>
      <w:r w:rsidR="00B874FC" w:rsidRPr="008F486E">
        <w:rPr>
          <w:rFonts w:ascii="Arial" w:hAnsi="Arial" w:cs="Arial"/>
          <w:i/>
          <w:sz w:val="24"/>
          <w:szCs w:val="24"/>
        </w:rPr>
        <w:t>Convenio sobre el Registro</w:t>
      </w:r>
      <w:r w:rsidR="004D49AD" w:rsidRPr="008F486E">
        <w:rPr>
          <w:rFonts w:ascii="Arial" w:hAnsi="Arial" w:cs="Arial"/>
          <w:i/>
          <w:sz w:val="24"/>
          <w:szCs w:val="24"/>
        </w:rPr>
        <w:t>,</w:t>
      </w:r>
      <w:r w:rsidR="00B874FC" w:rsidRPr="008F486E">
        <w:rPr>
          <w:rFonts w:ascii="Arial" w:hAnsi="Arial" w:cs="Arial"/>
          <w:i/>
          <w:sz w:val="24"/>
          <w:szCs w:val="24"/>
        </w:rPr>
        <w:t xml:space="preserve"> de</w:t>
      </w:r>
      <w:r w:rsidR="004D49AD" w:rsidRPr="008F486E">
        <w:rPr>
          <w:rFonts w:ascii="Arial" w:hAnsi="Arial" w:cs="Arial"/>
          <w:i/>
          <w:sz w:val="24"/>
          <w:szCs w:val="24"/>
        </w:rPr>
        <w:t xml:space="preserve"> 14 de enero de</w:t>
      </w:r>
      <w:r w:rsidR="00B874FC" w:rsidRPr="008F486E">
        <w:rPr>
          <w:rFonts w:ascii="Arial" w:hAnsi="Arial" w:cs="Arial"/>
          <w:i/>
          <w:sz w:val="24"/>
          <w:szCs w:val="24"/>
        </w:rPr>
        <w:t xml:space="preserve"> 1975</w:t>
      </w:r>
      <w:r w:rsidR="00C43172" w:rsidRPr="008F486E">
        <w:rPr>
          <w:rFonts w:ascii="Arial" w:hAnsi="Arial" w:cs="Arial"/>
          <w:sz w:val="24"/>
          <w:szCs w:val="24"/>
        </w:rPr>
        <w:t>, a</w:t>
      </w:r>
      <w:r w:rsidR="004D49AD" w:rsidRPr="008F486E">
        <w:rPr>
          <w:rFonts w:ascii="Arial" w:hAnsi="Arial" w:cs="Arial"/>
          <w:sz w:val="24"/>
          <w:szCs w:val="24"/>
        </w:rPr>
        <w:t>probado por la AGNU en su Resolución 3235(XXIX) de 12 de noviembre de 1974</w:t>
      </w:r>
      <w:r w:rsidR="00761C9D" w:rsidRPr="008F486E">
        <w:rPr>
          <w:rStyle w:val="Refdenotaalpie"/>
          <w:rFonts w:ascii="Arial" w:hAnsi="Arial" w:cs="Arial"/>
          <w:sz w:val="24"/>
          <w:szCs w:val="24"/>
        </w:rPr>
        <w:footnoteReference w:id="36"/>
      </w:r>
      <w:r w:rsidR="004D49AD" w:rsidRPr="008F486E">
        <w:rPr>
          <w:rFonts w:ascii="Arial" w:hAnsi="Arial" w:cs="Arial"/>
          <w:sz w:val="24"/>
          <w:szCs w:val="24"/>
        </w:rPr>
        <w:t>.</w:t>
      </w:r>
      <w:r w:rsidR="004962DD" w:rsidRPr="008F486E">
        <w:rPr>
          <w:rFonts w:ascii="Arial" w:hAnsi="Arial" w:cs="Arial"/>
          <w:sz w:val="24"/>
          <w:szCs w:val="24"/>
        </w:rPr>
        <w:t xml:space="preserve"> </w:t>
      </w:r>
      <w:r w:rsidR="00B874FC" w:rsidRPr="008F486E">
        <w:rPr>
          <w:rFonts w:ascii="Arial" w:hAnsi="Arial" w:cs="Arial"/>
          <w:sz w:val="24"/>
          <w:szCs w:val="24"/>
        </w:rPr>
        <w:t xml:space="preserve">En lo que </w:t>
      </w:r>
      <w:r w:rsidR="00A736CF" w:rsidRPr="008F486E">
        <w:rPr>
          <w:rFonts w:ascii="Arial" w:hAnsi="Arial" w:cs="Arial"/>
          <w:sz w:val="24"/>
          <w:szCs w:val="24"/>
        </w:rPr>
        <w:t>concierne al Convenio sobre el R</w:t>
      </w:r>
      <w:r w:rsidR="00B874FC" w:rsidRPr="008F486E">
        <w:rPr>
          <w:rFonts w:ascii="Arial" w:hAnsi="Arial" w:cs="Arial"/>
          <w:sz w:val="24"/>
          <w:szCs w:val="24"/>
        </w:rPr>
        <w:t>egistro (Convenio sobre el registro de objetos lanzados al espacio ultraterrestre) los Estados Partes adoptan disposiciones para crear un Registro Nacional por los Estados de lanzamiento de un</w:t>
      </w:r>
      <w:r w:rsidR="00110CAE" w:rsidRPr="008F486E">
        <w:rPr>
          <w:rFonts w:ascii="Arial" w:hAnsi="Arial" w:cs="Arial"/>
          <w:sz w:val="24"/>
          <w:szCs w:val="24"/>
        </w:rPr>
        <w:t xml:space="preserve"> objeto espacial y un Registro </w:t>
      </w:r>
      <w:r w:rsidR="00B874FC" w:rsidRPr="008F486E">
        <w:rPr>
          <w:rFonts w:ascii="Arial" w:hAnsi="Arial" w:cs="Arial"/>
          <w:sz w:val="24"/>
          <w:szCs w:val="24"/>
        </w:rPr>
        <w:t>Internacional llevado por el Secretario General de las Naciones Unidas. Ambos sistemas de registro tendrían carác</w:t>
      </w:r>
      <w:r w:rsidR="00A736CF" w:rsidRPr="008F486E">
        <w:rPr>
          <w:rFonts w:ascii="Arial" w:hAnsi="Arial" w:cs="Arial"/>
          <w:sz w:val="24"/>
          <w:szCs w:val="24"/>
        </w:rPr>
        <w:t>ter obligatorio, por tanto, el E</w:t>
      </w:r>
      <w:r w:rsidR="00B874FC" w:rsidRPr="008F486E">
        <w:rPr>
          <w:rFonts w:ascii="Arial" w:hAnsi="Arial" w:cs="Arial"/>
          <w:sz w:val="24"/>
          <w:szCs w:val="24"/>
        </w:rPr>
        <w:t>stado que lance un objeto espacial deberá registrarlo tanto en el Registro nacional como en el Internacional, de</w:t>
      </w:r>
      <w:r w:rsidR="00110CAE" w:rsidRPr="008F486E">
        <w:rPr>
          <w:rFonts w:ascii="Arial" w:hAnsi="Arial" w:cs="Arial"/>
          <w:sz w:val="24"/>
          <w:szCs w:val="24"/>
        </w:rPr>
        <w:t>biendo comunicar al Secretario G</w:t>
      </w:r>
      <w:r w:rsidR="001E47A9" w:rsidRPr="008F486E">
        <w:rPr>
          <w:rFonts w:ascii="Arial" w:hAnsi="Arial" w:cs="Arial"/>
          <w:sz w:val="24"/>
          <w:szCs w:val="24"/>
        </w:rPr>
        <w:t>eneral de la ONU  la</w:t>
      </w:r>
      <w:r w:rsidR="00B874FC" w:rsidRPr="008F486E">
        <w:rPr>
          <w:rFonts w:ascii="Arial" w:hAnsi="Arial" w:cs="Arial"/>
          <w:sz w:val="24"/>
          <w:szCs w:val="24"/>
        </w:rPr>
        <w:t xml:space="preserve"> pertinente información registral sobre cuando y donde se lanza un objeto espacial, </w:t>
      </w:r>
      <w:r w:rsidR="006D42B6" w:rsidRPr="008F486E">
        <w:rPr>
          <w:rFonts w:ascii="Arial" w:hAnsi="Arial" w:cs="Arial"/>
          <w:sz w:val="24"/>
          <w:szCs w:val="24"/>
        </w:rPr>
        <w:t>cuáles son sus funciones generales y detalles sobre sus órbitas, ya que una de las finalidades de este Convenio reside en proporcionar medios adicionales de coadyuvar a la identificación de objetos espaciales. En este sentido, la res</w:t>
      </w:r>
      <w:r w:rsidR="00502954" w:rsidRPr="008F486E">
        <w:rPr>
          <w:rFonts w:ascii="Arial" w:hAnsi="Arial" w:cs="Arial"/>
          <w:sz w:val="24"/>
          <w:szCs w:val="24"/>
        </w:rPr>
        <w:t>olución 62/101, de la Asamblea G</w:t>
      </w:r>
      <w:r w:rsidR="006D42B6" w:rsidRPr="008F486E">
        <w:rPr>
          <w:rFonts w:ascii="Arial" w:hAnsi="Arial" w:cs="Arial"/>
          <w:sz w:val="24"/>
          <w:szCs w:val="24"/>
        </w:rPr>
        <w:t xml:space="preserve">eneral de las Naciones Unidas, ofrece una serie de Recomendaciones para mejorar la práctica de los Estados y las organizaciones intergubernamentales internacionales en cuanto al Registro de objetos espaciales. Los Estados, además, deberán transmitir información sobre aquellos objetos que hayan estado, pero ya no estén en órbita terrestre o hayan finalizado su vida operativa, en este caso nos estamos refiriendo a los residuos espaciales. Por </w:t>
      </w:r>
      <w:r w:rsidR="006D42B6" w:rsidRPr="008F486E">
        <w:rPr>
          <w:rFonts w:ascii="Arial" w:hAnsi="Arial" w:cs="Arial"/>
          <w:sz w:val="24"/>
          <w:szCs w:val="24"/>
        </w:rPr>
        <w:lastRenderedPageBreak/>
        <w:t>tanto, debe mejorarse la práctica del Registro de objetos</w:t>
      </w:r>
      <w:r w:rsidR="00213D83" w:rsidRPr="008F486E">
        <w:rPr>
          <w:rFonts w:ascii="Arial" w:hAnsi="Arial" w:cs="Arial"/>
          <w:sz w:val="24"/>
          <w:szCs w:val="24"/>
        </w:rPr>
        <w:t xml:space="preserve"> </w:t>
      </w:r>
      <w:r w:rsidR="006D42B6" w:rsidRPr="008F486E">
        <w:rPr>
          <w:rFonts w:ascii="Arial" w:hAnsi="Arial" w:cs="Arial"/>
          <w:sz w:val="24"/>
          <w:szCs w:val="24"/>
        </w:rPr>
        <w:t>espaciales lanzados como medio de garantizar la seguridad de las operaciones espaciales de todos los Estados</w:t>
      </w:r>
      <w:r w:rsidR="00D575BD" w:rsidRPr="008F486E">
        <w:rPr>
          <w:rStyle w:val="Refdenotaalpie"/>
          <w:rFonts w:ascii="Arial" w:hAnsi="Arial" w:cs="Arial"/>
          <w:sz w:val="24"/>
          <w:szCs w:val="24"/>
        </w:rPr>
        <w:footnoteReference w:id="37"/>
      </w:r>
      <w:r w:rsidR="006D42B6" w:rsidRPr="008F486E">
        <w:rPr>
          <w:rFonts w:ascii="Arial" w:hAnsi="Arial" w:cs="Arial"/>
          <w:sz w:val="24"/>
          <w:szCs w:val="24"/>
        </w:rPr>
        <w:t>.</w:t>
      </w:r>
    </w:p>
    <w:p w:rsidR="007910E0" w:rsidRPr="008F486E" w:rsidRDefault="00F116AC" w:rsidP="008F486E">
      <w:pPr>
        <w:spacing w:line="360" w:lineRule="auto"/>
        <w:ind w:firstLine="708"/>
        <w:jc w:val="both"/>
        <w:rPr>
          <w:rFonts w:ascii="Arial" w:hAnsi="Arial" w:cs="Arial"/>
          <w:sz w:val="24"/>
          <w:szCs w:val="24"/>
        </w:rPr>
      </w:pPr>
      <w:r w:rsidRPr="008F486E">
        <w:rPr>
          <w:rFonts w:ascii="Arial" w:hAnsi="Arial" w:cs="Arial"/>
          <w:sz w:val="24"/>
          <w:szCs w:val="24"/>
        </w:rPr>
        <w:t>Como complemento a las disposiciones del Convenio sobre el Regist</w:t>
      </w:r>
      <w:r w:rsidR="00B248EA" w:rsidRPr="008F486E">
        <w:rPr>
          <w:rFonts w:ascii="Arial" w:hAnsi="Arial" w:cs="Arial"/>
          <w:sz w:val="24"/>
          <w:szCs w:val="24"/>
        </w:rPr>
        <w:t>ro hemos de tener en cuenta el C</w:t>
      </w:r>
      <w:r w:rsidRPr="008F486E">
        <w:rPr>
          <w:rFonts w:ascii="Arial" w:hAnsi="Arial" w:cs="Arial"/>
          <w:sz w:val="24"/>
          <w:szCs w:val="24"/>
        </w:rPr>
        <w:t>apítulo III del “Protocolo sobre Bienes Espaciales de UNIDROIT”, de 9 de marzo de 2012, relativo a las disposiciones del registro sobre garantías internacionales en los bienes espaciales que contempla la designación de una Autoridad Supervisora así como modificaciones adicionales a las disposiciones relativas al Registro Internacional que se crea en virtud del “Convenio relativo a las Garantías Internacionales sobre elementos de Equipo Móvil”, de 16 de diciembre de 2001. En este Convenio se establece un sistema uniforme de registro que asegura que las garantías sobre el equipo sean reconocidas y protegidas universalmente, así como un sistema de ejecución de derechos de garantía</w:t>
      </w:r>
      <w:r w:rsidR="00714B9C" w:rsidRPr="008F486E">
        <w:rPr>
          <w:rFonts w:ascii="Arial" w:hAnsi="Arial" w:cs="Arial"/>
          <w:sz w:val="24"/>
          <w:szCs w:val="24"/>
        </w:rPr>
        <w:t xml:space="preserve"> sobre bienes muebles de gran valor (células y motores de aeronaves y helicópteros, material rodante ferroviario y bienes de equipo espacial). Además, el registrador será responsable de la indemnización compensatoria por la pérdida que sufra una persona como resultado directo de un error u omisión suyo, y de sus funcionarios y empleados, o del mal funcionamiento del sistema de inscripción internacional, salvo en determinados supuestos.</w:t>
      </w:r>
    </w:p>
    <w:p w:rsidR="002C4E21" w:rsidRPr="008F486E" w:rsidRDefault="00AA7339" w:rsidP="008F486E">
      <w:pPr>
        <w:spacing w:line="360" w:lineRule="auto"/>
        <w:jc w:val="both"/>
        <w:rPr>
          <w:rFonts w:ascii="Arial" w:hAnsi="Arial" w:cs="Arial"/>
          <w:sz w:val="24"/>
          <w:szCs w:val="24"/>
        </w:rPr>
      </w:pPr>
      <w:r w:rsidRPr="008F486E">
        <w:rPr>
          <w:rFonts w:ascii="Arial" w:hAnsi="Arial" w:cs="Arial"/>
          <w:sz w:val="24"/>
          <w:szCs w:val="24"/>
        </w:rPr>
        <w:lastRenderedPageBreak/>
        <w:t>a.5</w:t>
      </w:r>
      <w:r w:rsidR="007910E0" w:rsidRPr="008F486E">
        <w:rPr>
          <w:rFonts w:ascii="Arial" w:hAnsi="Arial" w:cs="Arial"/>
          <w:sz w:val="24"/>
          <w:szCs w:val="24"/>
        </w:rPr>
        <w:t xml:space="preserve">) </w:t>
      </w:r>
      <w:r w:rsidRPr="008F486E">
        <w:rPr>
          <w:rFonts w:ascii="Arial" w:hAnsi="Arial" w:cs="Arial"/>
          <w:i/>
          <w:sz w:val="24"/>
          <w:szCs w:val="24"/>
        </w:rPr>
        <w:t>Acuerdo sobre la Luna</w:t>
      </w:r>
      <w:r w:rsidR="004D49AD" w:rsidRPr="008F486E">
        <w:rPr>
          <w:rFonts w:ascii="Arial" w:hAnsi="Arial" w:cs="Arial"/>
          <w:i/>
          <w:sz w:val="24"/>
          <w:szCs w:val="24"/>
        </w:rPr>
        <w:t>,</w:t>
      </w:r>
      <w:r w:rsidR="00665064" w:rsidRPr="008F486E">
        <w:rPr>
          <w:rFonts w:ascii="Arial" w:hAnsi="Arial" w:cs="Arial"/>
          <w:i/>
          <w:sz w:val="24"/>
          <w:szCs w:val="24"/>
        </w:rPr>
        <w:t xml:space="preserve"> de</w:t>
      </w:r>
      <w:r w:rsidR="004D49AD" w:rsidRPr="008F486E">
        <w:rPr>
          <w:rFonts w:ascii="Arial" w:hAnsi="Arial" w:cs="Arial"/>
          <w:i/>
          <w:sz w:val="24"/>
          <w:szCs w:val="24"/>
        </w:rPr>
        <w:t xml:space="preserve"> 18 de diciembre de </w:t>
      </w:r>
      <w:r w:rsidRPr="008F486E">
        <w:rPr>
          <w:rFonts w:ascii="Arial" w:hAnsi="Arial" w:cs="Arial"/>
          <w:i/>
          <w:sz w:val="24"/>
          <w:szCs w:val="24"/>
        </w:rPr>
        <w:t>1979</w:t>
      </w:r>
      <w:r w:rsidR="0039211C" w:rsidRPr="008F486E">
        <w:rPr>
          <w:rFonts w:ascii="Arial" w:hAnsi="Arial" w:cs="Arial"/>
          <w:sz w:val="24"/>
          <w:szCs w:val="24"/>
        </w:rPr>
        <w:t>, a</w:t>
      </w:r>
      <w:r w:rsidR="004D49AD" w:rsidRPr="008F486E">
        <w:rPr>
          <w:rFonts w:ascii="Arial" w:hAnsi="Arial" w:cs="Arial"/>
          <w:sz w:val="24"/>
          <w:szCs w:val="24"/>
        </w:rPr>
        <w:t>probado por la AGNU en su Resolución 34/68 de 5 de diciembre de 1979</w:t>
      </w:r>
      <w:r w:rsidR="00B55F5E" w:rsidRPr="008F486E">
        <w:rPr>
          <w:rStyle w:val="Refdenotaalpie"/>
          <w:rFonts w:ascii="Arial" w:hAnsi="Arial" w:cs="Arial"/>
          <w:sz w:val="24"/>
          <w:szCs w:val="24"/>
        </w:rPr>
        <w:footnoteReference w:id="38"/>
      </w:r>
      <w:r w:rsidR="004D49AD" w:rsidRPr="008F486E">
        <w:rPr>
          <w:rFonts w:ascii="Arial" w:hAnsi="Arial" w:cs="Arial"/>
          <w:sz w:val="24"/>
          <w:szCs w:val="24"/>
        </w:rPr>
        <w:t>.</w:t>
      </w:r>
      <w:r w:rsidR="004962DD" w:rsidRPr="008F486E">
        <w:rPr>
          <w:rFonts w:ascii="Arial" w:hAnsi="Arial" w:cs="Arial"/>
          <w:sz w:val="24"/>
          <w:szCs w:val="24"/>
        </w:rPr>
        <w:t xml:space="preserve"> </w:t>
      </w:r>
      <w:r w:rsidRPr="008F486E">
        <w:rPr>
          <w:rFonts w:ascii="Arial" w:hAnsi="Arial" w:cs="Arial"/>
          <w:sz w:val="24"/>
          <w:szCs w:val="24"/>
        </w:rPr>
        <w:t>El acuerdo sobre la Luna de 1979 (Acuerdo que debe regir las actividades de los Estados en la Luna y otros cuerpos celestes) reconoce a la Luna como</w:t>
      </w:r>
      <w:r w:rsidR="00F04CC1" w:rsidRPr="008F486E">
        <w:rPr>
          <w:rFonts w:ascii="Arial" w:hAnsi="Arial" w:cs="Arial"/>
          <w:sz w:val="24"/>
          <w:szCs w:val="24"/>
        </w:rPr>
        <w:t xml:space="preserve"> satélite natural de la Tierra, todas las referencias a la Luna incluirán todas las órbitas alrededor de la Luna u otras trayectorias dirigidas hacia ella o que la rodean</w:t>
      </w:r>
      <w:r w:rsidR="003A5BE0" w:rsidRPr="008F486E">
        <w:rPr>
          <w:rFonts w:ascii="Arial" w:hAnsi="Arial" w:cs="Arial"/>
          <w:sz w:val="24"/>
          <w:szCs w:val="24"/>
        </w:rPr>
        <w:t>. Las disposiciones de este Acuerdo se aplicarán a los demás cuerpos celestes de nuestro sistema solar, salvo que entren en vigor normas jurídicas específicas. Este Acuerdo ha tenido escasas ratificaciones, fundamentalmente por las principales potencias espaciales, puesto que el artículo 11 es materia de fuerte debate y complejidad jurídica al afirmarse que la Luna y sus recursos naturales son patrimonio común de la humanidad y al preverse que en el futuro régimen internacional aplicable a la explotación de los recursos naturales de la Luna deberá haber una participación equitativa de todos los Estados Parte en los beneficios obtenidos de esos recursos, teniéndose especialmente en cuenta los intereses y necesidades de los países en vías de desarrollo.</w:t>
      </w:r>
    </w:p>
    <w:p w:rsidR="009A1090" w:rsidRPr="008F486E" w:rsidRDefault="009A1090" w:rsidP="008F486E">
      <w:pPr>
        <w:pStyle w:val="Prrafodelista"/>
        <w:spacing w:line="360" w:lineRule="auto"/>
        <w:ind w:left="1440"/>
        <w:jc w:val="both"/>
        <w:rPr>
          <w:rFonts w:ascii="Arial" w:hAnsi="Arial" w:cs="Arial"/>
          <w:i/>
          <w:sz w:val="24"/>
          <w:szCs w:val="24"/>
        </w:rPr>
      </w:pPr>
    </w:p>
    <w:p w:rsidR="0039211C" w:rsidRPr="008F486E" w:rsidRDefault="0039211C" w:rsidP="008F486E">
      <w:pPr>
        <w:pStyle w:val="Prrafodelista"/>
        <w:spacing w:line="360" w:lineRule="auto"/>
        <w:ind w:left="1440"/>
        <w:jc w:val="both"/>
        <w:rPr>
          <w:rFonts w:ascii="Arial" w:hAnsi="Arial" w:cs="Arial"/>
          <w:i/>
          <w:sz w:val="24"/>
          <w:szCs w:val="24"/>
        </w:rPr>
      </w:pPr>
    </w:p>
    <w:p w:rsidR="00B248EA" w:rsidRPr="008F486E" w:rsidRDefault="007360B7" w:rsidP="008F486E">
      <w:pPr>
        <w:pStyle w:val="Prrafodelista"/>
        <w:numPr>
          <w:ilvl w:val="0"/>
          <w:numId w:val="40"/>
        </w:numPr>
        <w:spacing w:line="360" w:lineRule="auto"/>
        <w:jc w:val="both"/>
        <w:rPr>
          <w:rFonts w:ascii="Arial" w:hAnsi="Arial" w:cs="Arial"/>
          <w:i/>
          <w:sz w:val="24"/>
          <w:szCs w:val="24"/>
        </w:rPr>
      </w:pPr>
      <w:r w:rsidRPr="008F486E">
        <w:rPr>
          <w:rFonts w:ascii="Arial" w:hAnsi="Arial" w:cs="Arial"/>
          <w:i/>
          <w:sz w:val="24"/>
          <w:szCs w:val="24"/>
        </w:rPr>
        <w:t>Declaraci</w:t>
      </w:r>
      <w:r w:rsidR="00FA68CF" w:rsidRPr="008F486E">
        <w:rPr>
          <w:rFonts w:ascii="Arial" w:hAnsi="Arial" w:cs="Arial"/>
          <w:i/>
          <w:sz w:val="24"/>
          <w:szCs w:val="24"/>
        </w:rPr>
        <w:t>ones y</w:t>
      </w:r>
      <w:r w:rsidRPr="008F486E">
        <w:rPr>
          <w:rFonts w:ascii="Arial" w:hAnsi="Arial" w:cs="Arial"/>
          <w:i/>
          <w:sz w:val="24"/>
          <w:szCs w:val="24"/>
        </w:rPr>
        <w:t xml:space="preserve"> P</w:t>
      </w:r>
      <w:r w:rsidR="002C4E21" w:rsidRPr="008F486E">
        <w:rPr>
          <w:rFonts w:ascii="Arial" w:hAnsi="Arial" w:cs="Arial"/>
          <w:i/>
          <w:sz w:val="24"/>
          <w:szCs w:val="24"/>
        </w:rPr>
        <w:t>rincipios</w:t>
      </w:r>
    </w:p>
    <w:p w:rsidR="009A1090" w:rsidRPr="008F486E" w:rsidRDefault="007360B7" w:rsidP="008F486E">
      <w:pPr>
        <w:spacing w:line="360" w:lineRule="auto"/>
        <w:jc w:val="both"/>
        <w:rPr>
          <w:rFonts w:ascii="Arial" w:hAnsi="Arial" w:cs="Arial"/>
          <w:sz w:val="24"/>
          <w:szCs w:val="24"/>
        </w:rPr>
      </w:pPr>
      <w:r w:rsidRPr="008F486E">
        <w:rPr>
          <w:rFonts w:ascii="Arial" w:hAnsi="Arial" w:cs="Arial"/>
          <w:sz w:val="24"/>
          <w:szCs w:val="24"/>
        </w:rPr>
        <w:t xml:space="preserve">b.1) </w:t>
      </w:r>
      <w:r w:rsidRPr="008F486E">
        <w:rPr>
          <w:rFonts w:ascii="Arial" w:hAnsi="Arial" w:cs="Arial"/>
          <w:i/>
          <w:sz w:val="24"/>
          <w:szCs w:val="24"/>
        </w:rPr>
        <w:t>“Declaración de los principios jurídicos que deben regir las actividades de los Estados en la exploración y utilización del espacio ultraterrestre</w:t>
      </w:r>
      <w:r w:rsidRPr="008F486E">
        <w:rPr>
          <w:rFonts w:ascii="Arial" w:hAnsi="Arial" w:cs="Arial"/>
          <w:sz w:val="24"/>
          <w:szCs w:val="24"/>
        </w:rPr>
        <w:t>”, aprobada por la AGNU en su resolución 1962(XVIII), de 13 de diciembre de 1963. Esta Declaración supo</w:t>
      </w:r>
      <w:r w:rsidR="00B248EA" w:rsidRPr="008F486E">
        <w:rPr>
          <w:rFonts w:ascii="Arial" w:hAnsi="Arial" w:cs="Arial"/>
          <w:sz w:val="24"/>
          <w:szCs w:val="24"/>
        </w:rPr>
        <w:t>ne la antesala del Tratado del E</w:t>
      </w:r>
      <w:r w:rsidRPr="008F486E">
        <w:rPr>
          <w:rFonts w:ascii="Arial" w:hAnsi="Arial" w:cs="Arial"/>
          <w:sz w:val="24"/>
          <w:szCs w:val="24"/>
        </w:rPr>
        <w:t>spacio de 1967, ya que este último recoge los principios establecidos en dicha Declaración</w:t>
      </w:r>
      <w:r w:rsidR="009A1090" w:rsidRPr="008F486E">
        <w:rPr>
          <w:rFonts w:ascii="Arial" w:hAnsi="Arial" w:cs="Arial"/>
          <w:sz w:val="24"/>
          <w:szCs w:val="24"/>
        </w:rPr>
        <w:t>.</w:t>
      </w:r>
    </w:p>
    <w:p w:rsidR="0039211C" w:rsidRPr="008F486E" w:rsidRDefault="007360B7" w:rsidP="008F486E">
      <w:pPr>
        <w:spacing w:line="360" w:lineRule="auto"/>
        <w:jc w:val="both"/>
        <w:rPr>
          <w:rFonts w:ascii="Arial" w:hAnsi="Arial" w:cs="Arial"/>
          <w:sz w:val="24"/>
          <w:szCs w:val="24"/>
        </w:rPr>
      </w:pPr>
      <w:r w:rsidRPr="008F486E">
        <w:rPr>
          <w:rFonts w:ascii="Arial" w:hAnsi="Arial" w:cs="Arial"/>
          <w:sz w:val="24"/>
          <w:szCs w:val="24"/>
        </w:rPr>
        <w:t xml:space="preserve">b.2) </w:t>
      </w:r>
      <w:r w:rsidRPr="008F486E">
        <w:rPr>
          <w:rFonts w:ascii="Arial" w:hAnsi="Arial" w:cs="Arial"/>
          <w:i/>
          <w:sz w:val="24"/>
          <w:szCs w:val="24"/>
        </w:rPr>
        <w:t>Principios que han de regir la utilización por los Estados de satélites artificiales de la Tierra para las transmisiones internacionales directas por televisión</w:t>
      </w:r>
      <w:r w:rsidRPr="008F486E">
        <w:rPr>
          <w:rFonts w:ascii="Arial" w:hAnsi="Arial" w:cs="Arial"/>
          <w:sz w:val="24"/>
          <w:szCs w:val="24"/>
        </w:rPr>
        <w:t>, aprobados por la AGNU en su resolución 37/92, de 10 de diciembre de 1982.</w:t>
      </w:r>
      <w:r w:rsidR="0079341B" w:rsidRPr="008F486E">
        <w:rPr>
          <w:rFonts w:ascii="Arial" w:hAnsi="Arial" w:cs="Arial"/>
          <w:sz w:val="24"/>
          <w:szCs w:val="24"/>
        </w:rPr>
        <w:t xml:space="preserve"> Las actividades en este campo deberán realizarse de manera compatible con los derechos soberanos de los Estados y deberán promover la libre difusión y el intercambio mutuo de conocimientos e información en las esferas de la cultura y de la ciencia así como el acceso a esa tecnología en </w:t>
      </w:r>
      <w:r w:rsidR="0079341B" w:rsidRPr="008F486E">
        <w:rPr>
          <w:rFonts w:ascii="Arial" w:hAnsi="Arial" w:cs="Arial"/>
          <w:sz w:val="24"/>
          <w:szCs w:val="24"/>
        </w:rPr>
        <w:lastRenderedPageBreak/>
        <w:t>condiciones mutuamente aceptables teniendo especialmente en cuenta los intereses de los países en vías de desarrollo.</w:t>
      </w:r>
    </w:p>
    <w:p w:rsidR="0079341B" w:rsidRPr="008F486E" w:rsidRDefault="0079341B" w:rsidP="008F486E">
      <w:pPr>
        <w:spacing w:line="360" w:lineRule="auto"/>
        <w:jc w:val="both"/>
        <w:rPr>
          <w:rFonts w:ascii="Arial" w:hAnsi="Arial" w:cs="Arial"/>
          <w:sz w:val="24"/>
          <w:szCs w:val="24"/>
        </w:rPr>
      </w:pPr>
      <w:r w:rsidRPr="008F486E">
        <w:rPr>
          <w:rFonts w:ascii="Arial" w:hAnsi="Arial" w:cs="Arial"/>
          <w:sz w:val="24"/>
          <w:szCs w:val="24"/>
        </w:rPr>
        <w:t>b</w:t>
      </w:r>
      <w:r w:rsidR="007360B7" w:rsidRPr="008F486E">
        <w:rPr>
          <w:rFonts w:ascii="Arial" w:hAnsi="Arial" w:cs="Arial"/>
          <w:sz w:val="24"/>
          <w:szCs w:val="24"/>
        </w:rPr>
        <w:t>.3</w:t>
      </w:r>
      <w:r w:rsidR="00F36F82" w:rsidRPr="008F486E">
        <w:rPr>
          <w:rFonts w:ascii="Arial" w:hAnsi="Arial" w:cs="Arial"/>
          <w:sz w:val="24"/>
          <w:szCs w:val="24"/>
        </w:rPr>
        <w:t>)</w:t>
      </w:r>
      <w:r w:rsidR="007360B7" w:rsidRPr="008F486E">
        <w:rPr>
          <w:rFonts w:ascii="Arial" w:hAnsi="Arial" w:cs="Arial"/>
          <w:i/>
          <w:sz w:val="24"/>
          <w:szCs w:val="24"/>
        </w:rPr>
        <w:t xml:space="preserve"> Principios relativos a la </w:t>
      </w:r>
      <w:proofErr w:type="spellStart"/>
      <w:r w:rsidR="007360B7" w:rsidRPr="008F486E">
        <w:rPr>
          <w:rFonts w:ascii="Arial" w:hAnsi="Arial" w:cs="Arial"/>
          <w:i/>
          <w:sz w:val="24"/>
          <w:szCs w:val="24"/>
        </w:rPr>
        <w:t>teleobservación</w:t>
      </w:r>
      <w:proofErr w:type="spellEnd"/>
      <w:r w:rsidR="007360B7" w:rsidRPr="008F486E">
        <w:rPr>
          <w:rFonts w:ascii="Arial" w:hAnsi="Arial" w:cs="Arial"/>
          <w:i/>
          <w:sz w:val="24"/>
          <w:szCs w:val="24"/>
        </w:rPr>
        <w:t xml:space="preserve"> de la Tierra desde el espacio, aprobados por la AGNU</w:t>
      </w:r>
      <w:r w:rsidRPr="008F486E">
        <w:rPr>
          <w:rFonts w:ascii="Arial" w:hAnsi="Arial" w:cs="Arial"/>
          <w:i/>
          <w:sz w:val="24"/>
          <w:szCs w:val="24"/>
        </w:rPr>
        <w:t xml:space="preserve"> en su resolución 41/65, de 3 de diciembre de 1986</w:t>
      </w:r>
      <w:r w:rsidR="0039211C" w:rsidRPr="008F486E">
        <w:rPr>
          <w:rFonts w:ascii="Arial" w:hAnsi="Arial" w:cs="Arial"/>
          <w:sz w:val="24"/>
          <w:szCs w:val="24"/>
        </w:rPr>
        <w:t xml:space="preserve">. </w:t>
      </w:r>
      <w:r w:rsidR="00AD7A6A" w:rsidRPr="008F486E">
        <w:rPr>
          <w:rFonts w:ascii="Arial" w:hAnsi="Arial" w:cs="Arial"/>
          <w:sz w:val="24"/>
          <w:szCs w:val="24"/>
        </w:rPr>
        <w:t>L</w:t>
      </w:r>
      <w:r w:rsidRPr="008F486E">
        <w:rPr>
          <w:rFonts w:ascii="Arial" w:hAnsi="Arial" w:cs="Arial"/>
          <w:sz w:val="24"/>
          <w:szCs w:val="24"/>
        </w:rPr>
        <w:t xml:space="preserve">as actividades de </w:t>
      </w:r>
      <w:proofErr w:type="spellStart"/>
      <w:r w:rsidRPr="008F486E">
        <w:rPr>
          <w:rFonts w:ascii="Arial" w:hAnsi="Arial" w:cs="Arial"/>
          <w:sz w:val="24"/>
          <w:szCs w:val="24"/>
        </w:rPr>
        <w:t>teleobservación</w:t>
      </w:r>
      <w:proofErr w:type="spellEnd"/>
      <w:r w:rsidRPr="008F486E">
        <w:rPr>
          <w:rFonts w:ascii="Arial" w:hAnsi="Arial" w:cs="Arial"/>
          <w:sz w:val="24"/>
          <w:szCs w:val="24"/>
        </w:rPr>
        <w:t xml:space="preserve"> deberán llevarse a cabo respetando el principio de soberanía plena y permanente de todos los Estados sobre su propia riqueza y sus recursos naturales</w:t>
      </w:r>
      <w:r w:rsidR="00C33BCF" w:rsidRPr="008F486E">
        <w:rPr>
          <w:rFonts w:ascii="Arial" w:hAnsi="Arial" w:cs="Arial"/>
          <w:sz w:val="24"/>
          <w:szCs w:val="24"/>
        </w:rPr>
        <w:t>. Las actividades de teledetección también se realizarán en provecho e interés de todos los países, teniendo especialmente en cuenta las necesidades de los pa</w:t>
      </w:r>
      <w:r w:rsidR="00665064" w:rsidRPr="008F486E">
        <w:rPr>
          <w:rFonts w:ascii="Arial" w:hAnsi="Arial" w:cs="Arial"/>
          <w:sz w:val="24"/>
          <w:szCs w:val="24"/>
        </w:rPr>
        <w:t xml:space="preserve">íses en desarrollo. La </w:t>
      </w:r>
      <w:proofErr w:type="spellStart"/>
      <w:r w:rsidR="00665064" w:rsidRPr="008F486E">
        <w:rPr>
          <w:rFonts w:ascii="Arial" w:hAnsi="Arial" w:cs="Arial"/>
          <w:sz w:val="24"/>
          <w:szCs w:val="24"/>
        </w:rPr>
        <w:t>clausula</w:t>
      </w:r>
      <w:proofErr w:type="spellEnd"/>
      <w:r w:rsidR="00665064" w:rsidRPr="008F486E">
        <w:rPr>
          <w:rFonts w:ascii="Arial" w:hAnsi="Arial" w:cs="Arial"/>
          <w:sz w:val="24"/>
          <w:szCs w:val="24"/>
        </w:rPr>
        <w:t xml:space="preserve"> </w:t>
      </w:r>
      <w:r w:rsidR="00C33BCF" w:rsidRPr="008F486E">
        <w:rPr>
          <w:rFonts w:ascii="Arial" w:hAnsi="Arial" w:cs="Arial"/>
          <w:sz w:val="24"/>
          <w:szCs w:val="24"/>
        </w:rPr>
        <w:t>del beneficio común queda plasmada en la “Declaración sobre la cooperación internacional en la exploración y utilización del espacio ultraterrestre en beneficio e interés de todos los Estados, teniendo especialmente en cuenta, las necesidades de los países en desarrollo”, de 13 de diciembre de 1996.</w:t>
      </w:r>
    </w:p>
    <w:p w:rsidR="000C3E82" w:rsidRPr="008F486E" w:rsidRDefault="0079341B" w:rsidP="008F486E">
      <w:pPr>
        <w:spacing w:line="360" w:lineRule="auto"/>
        <w:jc w:val="both"/>
        <w:rPr>
          <w:rFonts w:ascii="Arial" w:hAnsi="Arial" w:cs="Arial"/>
          <w:sz w:val="24"/>
          <w:szCs w:val="24"/>
        </w:rPr>
      </w:pPr>
      <w:r w:rsidRPr="008F486E">
        <w:rPr>
          <w:rFonts w:ascii="Arial" w:hAnsi="Arial" w:cs="Arial"/>
          <w:sz w:val="24"/>
          <w:szCs w:val="24"/>
        </w:rPr>
        <w:t xml:space="preserve">b.4) </w:t>
      </w:r>
      <w:r w:rsidRPr="008F486E">
        <w:rPr>
          <w:rFonts w:ascii="Arial" w:hAnsi="Arial" w:cs="Arial"/>
          <w:i/>
          <w:sz w:val="24"/>
          <w:szCs w:val="24"/>
        </w:rPr>
        <w:t>Principios pertinentes a la utilización de fuentes de energía nuclear en el espacio ultraterrestre</w:t>
      </w:r>
      <w:r w:rsidRPr="008F486E">
        <w:rPr>
          <w:rFonts w:ascii="Arial" w:hAnsi="Arial" w:cs="Arial"/>
          <w:sz w:val="24"/>
          <w:szCs w:val="24"/>
        </w:rPr>
        <w:t>, aprobados por la AGNU en su resolución 47/68, de 14 de diciembre de 1992.</w:t>
      </w:r>
      <w:r w:rsidR="00C33BCF" w:rsidRPr="008F486E">
        <w:rPr>
          <w:rFonts w:ascii="Arial" w:hAnsi="Arial" w:cs="Arial"/>
          <w:sz w:val="24"/>
          <w:szCs w:val="24"/>
        </w:rPr>
        <w:t xml:space="preserve"> Se refiere a aquellas fuentes de energía nuclear destinadas a la generación de energía eléctrica a bordo de objetos espaciales para fines distintos de la propulsión, estableciendo unas directrices y criterios para la utilización de estas fuentes en condiciones de seguridad, un control o evaluación de</w:t>
      </w:r>
      <w:r w:rsidR="00665064" w:rsidRPr="008F486E">
        <w:rPr>
          <w:rFonts w:ascii="Arial" w:hAnsi="Arial" w:cs="Arial"/>
          <w:sz w:val="24"/>
          <w:szCs w:val="24"/>
        </w:rPr>
        <w:t xml:space="preserve"> seguridad, antes y durante el </w:t>
      </w:r>
      <w:r w:rsidR="00C33BCF" w:rsidRPr="008F486E">
        <w:rPr>
          <w:rFonts w:ascii="Arial" w:hAnsi="Arial" w:cs="Arial"/>
          <w:sz w:val="24"/>
          <w:szCs w:val="24"/>
        </w:rPr>
        <w:t xml:space="preserve">lanzamiento, su misión en órbita y la posterior notificación de reingreso. En caso se produzcan daños por el objeto espacial que lleve a bordo fuentes de energía nuclear, serán de aplicación las disposiciones del Convenio sobre la Responsabilidad. Como complemento a los Principios de 1992, en 2009 se aprobó </w:t>
      </w:r>
      <w:r w:rsidR="00D87330" w:rsidRPr="008F486E">
        <w:rPr>
          <w:rFonts w:ascii="Arial" w:hAnsi="Arial" w:cs="Arial"/>
          <w:sz w:val="24"/>
          <w:szCs w:val="24"/>
        </w:rPr>
        <w:t>el “Marco de Seguridad relativo a las aplicaciones de fuentes de energía nuclear en el espacio ultraterrestre”, puesto que actualmente las fuentes de energía nuclear son la única opción de alimentación de energía viable para llevar a cabo algunas misiones espaciales y para ampliar el alcance de otras. El Marco de seguridad se centra en la seguridad de las fases pertinentes al lanzamiento</w:t>
      </w:r>
      <w:r w:rsidR="00243226" w:rsidRPr="008F486E">
        <w:rPr>
          <w:rFonts w:ascii="Arial" w:hAnsi="Arial" w:cs="Arial"/>
          <w:sz w:val="24"/>
          <w:szCs w:val="24"/>
        </w:rPr>
        <w:t>, explotación y puesta fuera de servicio de las aplicaciones de fuentes de energía nuclear en el espacio, facilitando orientación de alto nivel sobre los aspectos programáticos y técnicos de la seguridad.</w:t>
      </w:r>
    </w:p>
    <w:p w:rsidR="000C3E82" w:rsidRPr="008F486E" w:rsidRDefault="0079341B" w:rsidP="008F486E">
      <w:pPr>
        <w:spacing w:line="360" w:lineRule="auto"/>
        <w:jc w:val="both"/>
        <w:rPr>
          <w:rFonts w:ascii="Arial" w:hAnsi="Arial" w:cs="Arial"/>
          <w:sz w:val="24"/>
          <w:szCs w:val="24"/>
        </w:rPr>
      </w:pPr>
      <w:r w:rsidRPr="008F486E">
        <w:rPr>
          <w:rFonts w:ascii="Arial" w:hAnsi="Arial" w:cs="Arial"/>
          <w:sz w:val="24"/>
          <w:szCs w:val="24"/>
        </w:rPr>
        <w:lastRenderedPageBreak/>
        <w:t xml:space="preserve">b.5) </w:t>
      </w:r>
      <w:r w:rsidRPr="008F486E">
        <w:rPr>
          <w:rFonts w:ascii="Arial" w:hAnsi="Arial" w:cs="Arial"/>
          <w:i/>
          <w:sz w:val="24"/>
          <w:szCs w:val="24"/>
        </w:rPr>
        <w:t>Declaración sobre la cooperación internacional en la exploración y utilización del espacio ultraterrestre en beneficio e interés de todos los Estados, teniendo especialmente en cuenta, las necesidades de los países en desarrollo</w:t>
      </w:r>
      <w:r w:rsidR="0039211C" w:rsidRPr="008F486E">
        <w:rPr>
          <w:rFonts w:ascii="Arial" w:hAnsi="Arial" w:cs="Arial"/>
          <w:sz w:val="24"/>
          <w:szCs w:val="24"/>
        </w:rPr>
        <w:t>, a</w:t>
      </w:r>
      <w:r w:rsidRPr="008F486E">
        <w:rPr>
          <w:rFonts w:ascii="Arial" w:hAnsi="Arial" w:cs="Arial"/>
          <w:sz w:val="24"/>
          <w:szCs w:val="24"/>
        </w:rPr>
        <w:t>probada por la AGNU en su Resolución 51/122, de 13 de diciembre de 1996</w:t>
      </w:r>
      <w:r w:rsidR="00243226" w:rsidRPr="008F486E">
        <w:rPr>
          <w:rFonts w:ascii="Arial" w:hAnsi="Arial" w:cs="Arial"/>
          <w:sz w:val="24"/>
          <w:szCs w:val="24"/>
        </w:rPr>
        <w:t>.</w:t>
      </w:r>
      <w:r w:rsidR="00D313AC" w:rsidRPr="008F486E">
        <w:rPr>
          <w:rFonts w:ascii="Arial" w:hAnsi="Arial" w:cs="Arial"/>
          <w:sz w:val="24"/>
          <w:szCs w:val="24"/>
        </w:rPr>
        <w:t xml:space="preserve"> </w:t>
      </w:r>
      <w:r w:rsidR="00603B77" w:rsidRPr="008F486E">
        <w:rPr>
          <w:rFonts w:ascii="Arial" w:hAnsi="Arial" w:cs="Arial"/>
          <w:sz w:val="24"/>
          <w:szCs w:val="24"/>
        </w:rPr>
        <w:t>La cooperación internacional en la exploración y utilización del espacio ultraterrestre con fines pacíficos se realizará de conformidad con el derecho internacional y con las disposiciones del Tratado del Espacio de 1967</w:t>
      </w:r>
      <w:r w:rsidR="001E47A9" w:rsidRPr="008F486E">
        <w:rPr>
          <w:rFonts w:ascii="Arial" w:hAnsi="Arial" w:cs="Arial"/>
          <w:sz w:val="24"/>
          <w:szCs w:val="24"/>
        </w:rPr>
        <w:t>,</w:t>
      </w:r>
      <w:r w:rsidR="00603B77" w:rsidRPr="008F486E">
        <w:rPr>
          <w:rFonts w:ascii="Arial" w:hAnsi="Arial" w:cs="Arial"/>
          <w:sz w:val="24"/>
          <w:szCs w:val="24"/>
        </w:rPr>
        <w:t xml:space="preserve"> en beneficio e interés de todos los Estados, sea cual fuere su grado de desarrollo económico, social, científico o técnico e incumbirá a toda la humanidad. La cooperación internacional debe tener en </w:t>
      </w:r>
      <w:r w:rsidR="00502954" w:rsidRPr="008F486E">
        <w:rPr>
          <w:rFonts w:ascii="Arial" w:hAnsi="Arial" w:cs="Arial"/>
          <w:sz w:val="24"/>
          <w:szCs w:val="24"/>
        </w:rPr>
        <w:t>cuenta los siguientes objetivos</w:t>
      </w:r>
      <w:r w:rsidR="00603B77" w:rsidRPr="008F486E">
        <w:rPr>
          <w:rFonts w:ascii="Arial" w:hAnsi="Arial" w:cs="Arial"/>
          <w:sz w:val="24"/>
          <w:szCs w:val="24"/>
        </w:rPr>
        <w:t xml:space="preserve">: </w:t>
      </w:r>
      <w:r w:rsidR="00213D83" w:rsidRPr="008F486E">
        <w:rPr>
          <w:rFonts w:ascii="Arial" w:hAnsi="Arial" w:cs="Arial"/>
          <w:sz w:val="24"/>
          <w:szCs w:val="24"/>
        </w:rPr>
        <w:t>p</w:t>
      </w:r>
      <w:r w:rsidR="00603B77" w:rsidRPr="008F486E">
        <w:rPr>
          <w:rFonts w:ascii="Arial" w:hAnsi="Arial" w:cs="Arial"/>
          <w:sz w:val="24"/>
          <w:szCs w:val="24"/>
        </w:rPr>
        <w:t>romover el desarrollo de la ciencia y la tecnología e</w:t>
      </w:r>
      <w:r w:rsidR="00213D83" w:rsidRPr="008F486E">
        <w:rPr>
          <w:rFonts w:ascii="Arial" w:hAnsi="Arial" w:cs="Arial"/>
          <w:sz w:val="24"/>
          <w:szCs w:val="24"/>
        </w:rPr>
        <w:t>spaciales y de sus aplicaciones,</w:t>
      </w:r>
      <w:r w:rsidR="00603B77" w:rsidRPr="008F486E">
        <w:rPr>
          <w:rFonts w:ascii="Arial" w:hAnsi="Arial" w:cs="Arial"/>
          <w:sz w:val="24"/>
          <w:szCs w:val="24"/>
        </w:rPr>
        <w:t xml:space="preserve"> </w:t>
      </w:r>
      <w:r w:rsidR="00213D83" w:rsidRPr="008F486E">
        <w:rPr>
          <w:rFonts w:ascii="Arial" w:hAnsi="Arial" w:cs="Arial"/>
          <w:sz w:val="24"/>
          <w:szCs w:val="24"/>
        </w:rPr>
        <w:t>f</w:t>
      </w:r>
      <w:r w:rsidR="00603B77" w:rsidRPr="008F486E">
        <w:rPr>
          <w:rFonts w:ascii="Arial" w:hAnsi="Arial" w:cs="Arial"/>
          <w:sz w:val="24"/>
          <w:szCs w:val="24"/>
        </w:rPr>
        <w:t>omentar el desarrollo de una capacidad espacial pertinente y sufici</w:t>
      </w:r>
      <w:r w:rsidR="00213D83" w:rsidRPr="008F486E">
        <w:rPr>
          <w:rFonts w:ascii="Arial" w:hAnsi="Arial" w:cs="Arial"/>
          <w:sz w:val="24"/>
          <w:szCs w:val="24"/>
        </w:rPr>
        <w:t>ente en los Estados interesados y f</w:t>
      </w:r>
      <w:r w:rsidR="00603B77" w:rsidRPr="008F486E">
        <w:rPr>
          <w:rFonts w:ascii="Arial" w:hAnsi="Arial" w:cs="Arial"/>
          <w:sz w:val="24"/>
          <w:szCs w:val="24"/>
        </w:rPr>
        <w:t>acilitar una base mutuamente aceptable.</w:t>
      </w:r>
    </w:p>
    <w:p w:rsidR="00B33E73" w:rsidRPr="008F486E" w:rsidRDefault="00D313AC" w:rsidP="008F486E">
      <w:pPr>
        <w:spacing w:line="360" w:lineRule="auto"/>
        <w:ind w:firstLine="708"/>
        <w:jc w:val="both"/>
        <w:rPr>
          <w:rFonts w:ascii="Arial" w:hAnsi="Arial" w:cs="Arial"/>
          <w:sz w:val="24"/>
          <w:szCs w:val="24"/>
        </w:rPr>
      </w:pPr>
      <w:r w:rsidRPr="008F486E">
        <w:rPr>
          <w:rFonts w:ascii="Arial" w:hAnsi="Arial" w:cs="Arial"/>
          <w:sz w:val="24"/>
          <w:szCs w:val="24"/>
        </w:rPr>
        <w:t xml:space="preserve">A tenor </w:t>
      </w:r>
      <w:r w:rsidR="00603B77" w:rsidRPr="008F486E">
        <w:rPr>
          <w:rFonts w:ascii="Arial" w:hAnsi="Arial" w:cs="Arial"/>
          <w:sz w:val="24"/>
          <w:szCs w:val="24"/>
        </w:rPr>
        <w:t>del artículo 44 de la Constitución</w:t>
      </w:r>
      <w:r w:rsidRPr="008F486E">
        <w:rPr>
          <w:rFonts w:ascii="Arial" w:hAnsi="Arial" w:cs="Arial"/>
          <w:sz w:val="24"/>
          <w:szCs w:val="24"/>
        </w:rPr>
        <w:t xml:space="preserve"> de la UIT</w:t>
      </w:r>
      <w:r w:rsidR="00603B77" w:rsidRPr="008F486E">
        <w:rPr>
          <w:rFonts w:ascii="Arial" w:hAnsi="Arial" w:cs="Arial"/>
          <w:sz w:val="24"/>
          <w:szCs w:val="24"/>
        </w:rPr>
        <w:t xml:space="preserve">, </w:t>
      </w:r>
      <w:r w:rsidR="00603B77" w:rsidRPr="008F486E">
        <w:rPr>
          <w:rFonts w:ascii="Arial" w:hAnsi="Arial" w:cs="Arial"/>
          <w:i/>
          <w:sz w:val="24"/>
          <w:szCs w:val="24"/>
        </w:rPr>
        <w:t>las órbitas de satélites y el espectro de frecuencias radioeléctricas son recursos naturales limitados</w:t>
      </w:r>
      <w:r w:rsidR="00603B77" w:rsidRPr="008F486E">
        <w:rPr>
          <w:rFonts w:ascii="Arial" w:hAnsi="Arial" w:cs="Arial"/>
          <w:sz w:val="24"/>
          <w:szCs w:val="24"/>
        </w:rPr>
        <w:t xml:space="preserve"> que deben utilizarse en forma racional, eficaz, económica y equitativa. En este sentido, l</w:t>
      </w:r>
      <w:r w:rsidRPr="008F486E">
        <w:rPr>
          <w:rFonts w:ascii="Arial" w:hAnsi="Arial" w:cs="Arial"/>
          <w:sz w:val="24"/>
          <w:szCs w:val="24"/>
        </w:rPr>
        <w:t>a Subcomisión de A</w:t>
      </w:r>
      <w:r w:rsidR="00C2659D" w:rsidRPr="008F486E">
        <w:rPr>
          <w:rFonts w:ascii="Arial" w:hAnsi="Arial" w:cs="Arial"/>
          <w:sz w:val="24"/>
          <w:szCs w:val="24"/>
        </w:rPr>
        <w:t>suntos Jurídicos r</w:t>
      </w:r>
      <w:r w:rsidR="000C3E82" w:rsidRPr="008F486E">
        <w:rPr>
          <w:rFonts w:ascii="Arial" w:hAnsi="Arial" w:cs="Arial"/>
          <w:sz w:val="24"/>
          <w:szCs w:val="24"/>
        </w:rPr>
        <w:t xml:space="preserve">ecomienda que  </w:t>
      </w:r>
      <w:r w:rsidR="00413C2B" w:rsidRPr="008F486E">
        <w:rPr>
          <w:rFonts w:ascii="Arial" w:hAnsi="Arial" w:cs="Arial"/>
          <w:sz w:val="24"/>
          <w:szCs w:val="24"/>
        </w:rPr>
        <w:t>cuando sea necesaria la coordinación entre países con miras a la utilización de satélites, inclusive la órbita de los satélites geoestacionarios, los países interesados tengan en cuenta el hecho de que el acceso a esa órbita debe realizarse</w:t>
      </w:r>
      <w:r w:rsidR="000C3E82" w:rsidRPr="008F486E">
        <w:rPr>
          <w:rFonts w:ascii="Arial" w:hAnsi="Arial" w:cs="Arial"/>
          <w:sz w:val="24"/>
          <w:szCs w:val="24"/>
        </w:rPr>
        <w:t xml:space="preserve"> de manera equitativa y de</w:t>
      </w:r>
      <w:r w:rsidR="00413C2B" w:rsidRPr="008F486E">
        <w:rPr>
          <w:rFonts w:ascii="Arial" w:hAnsi="Arial" w:cs="Arial"/>
          <w:sz w:val="24"/>
          <w:szCs w:val="24"/>
        </w:rPr>
        <w:t xml:space="preserve"> conformidad con el Reglamento d</w:t>
      </w:r>
      <w:r w:rsidR="000C3E82" w:rsidRPr="008F486E">
        <w:rPr>
          <w:rFonts w:ascii="Arial" w:hAnsi="Arial" w:cs="Arial"/>
          <w:sz w:val="24"/>
          <w:szCs w:val="24"/>
        </w:rPr>
        <w:t>e Radiocomunicaciones de la UIT, además,</w:t>
      </w:r>
      <w:r w:rsidR="00413C2B" w:rsidRPr="008F486E">
        <w:rPr>
          <w:rFonts w:ascii="Arial" w:hAnsi="Arial" w:cs="Arial"/>
          <w:sz w:val="24"/>
          <w:szCs w:val="24"/>
        </w:rPr>
        <w:t xml:space="preserve"> los países que deseen utilizar frec</w:t>
      </w:r>
      <w:r w:rsidR="000C3E82" w:rsidRPr="008F486E">
        <w:rPr>
          <w:rFonts w:ascii="Arial" w:hAnsi="Arial" w:cs="Arial"/>
          <w:sz w:val="24"/>
          <w:szCs w:val="24"/>
        </w:rPr>
        <w:t>uencias y órbitas de satélites deberán solicitarlas</w:t>
      </w:r>
      <w:r w:rsidRPr="008F486E">
        <w:rPr>
          <w:rFonts w:ascii="Arial" w:hAnsi="Arial" w:cs="Arial"/>
          <w:sz w:val="24"/>
          <w:szCs w:val="24"/>
        </w:rPr>
        <w:t>, teniendo en cuenta la Resolución 18 de la Conferencia de Plenipoten</w:t>
      </w:r>
      <w:r w:rsidR="00F95D29" w:rsidRPr="008F486E">
        <w:rPr>
          <w:rFonts w:ascii="Arial" w:hAnsi="Arial" w:cs="Arial"/>
          <w:sz w:val="24"/>
          <w:szCs w:val="24"/>
        </w:rPr>
        <w:t>ciarios de la UIT (</w:t>
      </w:r>
      <w:proofErr w:type="spellStart"/>
      <w:r w:rsidR="00F95D29" w:rsidRPr="008F486E">
        <w:rPr>
          <w:rFonts w:ascii="Arial" w:hAnsi="Arial" w:cs="Arial"/>
          <w:sz w:val="24"/>
          <w:szCs w:val="24"/>
        </w:rPr>
        <w:t>Kyoto</w:t>
      </w:r>
      <w:proofErr w:type="spellEnd"/>
      <w:r w:rsidR="00F95D29" w:rsidRPr="008F486E">
        <w:rPr>
          <w:rFonts w:ascii="Arial" w:hAnsi="Arial" w:cs="Arial"/>
          <w:sz w:val="24"/>
          <w:szCs w:val="24"/>
        </w:rPr>
        <w:t xml:space="preserve"> </w:t>
      </w:r>
      <w:r w:rsidRPr="008F486E">
        <w:rPr>
          <w:rFonts w:ascii="Arial" w:hAnsi="Arial" w:cs="Arial"/>
          <w:sz w:val="24"/>
          <w:szCs w:val="24"/>
        </w:rPr>
        <w:t>1994) y la Resolución 4</w:t>
      </w:r>
      <w:r w:rsidR="00C2659D" w:rsidRPr="008F486E">
        <w:rPr>
          <w:rFonts w:ascii="Arial" w:hAnsi="Arial" w:cs="Arial"/>
          <w:sz w:val="24"/>
          <w:szCs w:val="24"/>
        </w:rPr>
        <w:t>9 de la Conferencia Mundial de R</w:t>
      </w:r>
      <w:r w:rsidRPr="008F486E">
        <w:rPr>
          <w:rFonts w:ascii="Arial" w:hAnsi="Arial" w:cs="Arial"/>
          <w:sz w:val="24"/>
          <w:szCs w:val="24"/>
        </w:rPr>
        <w:t>adiocomunicaciones de la UIT (Ginebra, 1997) para garantizar el uso eficaz del recurso órbita/espectro</w:t>
      </w:r>
      <w:r w:rsidRPr="008F486E">
        <w:rPr>
          <w:rStyle w:val="Refdenotaalpie"/>
          <w:rFonts w:ascii="Arial" w:hAnsi="Arial" w:cs="Arial"/>
          <w:sz w:val="24"/>
          <w:szCs w:val="24"/>
        </w:rPr>
        <w:footnoteReference w:id="39"/>
      </w:r>
      <w:r w:rsidR="000C3E82" w:rsidRPr="008F486E">
        <w:rPr>
          <w:rFonts w:ascii="Arial" w:hAnsi="Arial" w:cs="Arial"/>
          <w:sz w:val="24"/>
          <w:szCs w:val="24"/>
        </w:rPr>
        <w:t>.</w:t>
      </w:r>
      <w:r w:rsidR="00F96A93" w:rsidRPr="008F486E">
        <w:rPr>
          <w:rFonts w:ascii="Arial" w:hAnsi="Arial" w:cs="Arial"/>
          <w:sz w:val="24"/>
          <w:szCs w:val="24"/>
        </w:rPr>
        <w:t xml:space="preserve"> </w:t>
      </w:r>
      <w:r w:rsidR="00BF10D8" w:rsidRPr="008F486E">
        <w:rPr>
          <w:rFonts w:ascii="Arial" w:hAnsi="Arial" w:cs="Arial"/>
          <w:sz w:val="24"/>
          <w:szCs w:val="24"/>
        </w:rPr>
        <w:t>La labor del sector de radiocomunicaciones de la UIT (</w:t>
      </w:r>
      <w:r w:rsidR="00BF10D8" w:rsidRPr="008F486E">
        <w:rPr>
          <w:rFonts w:ascii="Arial" w:hAnsi="Arial" w:cs="Arial"/>
          <w:i/>
          <w:sz w:val="24"/>
          <w:szCs w:val="24"/>
        </w:rPr>
        <w:t>UIT-R</w:t>
      </w:r>
      <w:r w:rsidR="00BF10D8" w:rsidRPr="008F486E">
        <w:rPr>
          <w:rFonts w:ascii="Arial" w:hAnsi="Arial" w:cs="Arial"/>
          <w:sz w:val="24"/>
          <w:szCs w:val="24"/>
        </w:rPr>
        <w:t xml:space="preserve">) sienta las bases reglamentarias y técnicas para el desarrollo y funcionamiento eficaz de sistemas satelitales de vigilancia y difusión de datos sobre el clima al atribuir recursos necesarios del espectro de frecuencias radioeléctricas y las órbitas de </w:t>
      </w:r>
      <w:r w:rsidR="00BF10D8" w:rsidRPr="008F486E">
        <w:rPr>
          <w:rFonts w:ascii="Arial" w:hAnsi="Arial" w:cs="Arial"/>
          <w:sz w:val="24"/>
          <w:szCs w:val="24"/>
        </w:rPr>
        <w:lastRenderedPageBreak/>
        <w:t>satélites, realizar estudios y elaborar normas internacionales con rango de Tratado (Reglamento de Radiocomunicaciones) y normas internacionales voluntarias (Recomendaciones UIT-R) para las redes y sistemas de telecomunicaciones basadas en el espacio y de otra índole</w:t>
      </w:r>
      <w:r w:rsidR="008B19D8" w:rsidRPr="008F486E">
        <w:rPr>
          <w:rFonts w:ascii="Arial" w:hAnsi="Arial" w:cs="Arial"/>
          <w:sz w:val="24"/>
          <w:szCs w:val="24"/>
        </w:rPr>
        <w:t>.</w:t>
      </w:r>
    </w:p>
    <w:p w:rsidR="000C3E82" w:rsidRPr="008F486E" w:rsidRDefault="000C3E82" w:rsidP="008F486E">
      <w:pPr>
        <w:spacing w:line="360" w:lineRule="auto"/>
        <w:jc w:val="both"/>
        <w:rPr>
          <w:rFonts w:ascii="Arial" w:hAnsi="Arial" w:cs="Arial"/>
          <w:b/>
          <w:sz w:val="24"/>
          <w:szCs w:val="24"/>
        </w:rPr>
      </w:pPr>
    </w:p>
    <w:p w:rsidR="0029251F" w:rsidRPr="008F486E" w:rsidRDefault="00EC2DF9" w:rsidP="008F486E">
      <w:pPr>
        <w:pStyle w:val="Prrafodelista"/>
        <w:spacing w:line="360" w:lineRule="auto"/>
        <w:jc w:val="both"/>
        <w:rPr>
          <w:rFonts w:ascii="Arial" w:hAnsi="Arial" w:cs="Arial"/>
          <w:b/>
          <w:sz w:val="24"/>
          <w:szCs w:val="24"/>
        </w:rPr>
      </w:pPr>
      <w:r w:rsidRPr="008F486E">
        <w:rPr>
          <w:rFonts w:ascii="Arial" w:hAnsi="Arial" w:cs="Arial"/>
          <w:b/>
          <w:sz w:val="24"/>
          <w:szCs w:val="24"/>
        </w:rPr>
        <w:t>II.B.</w:t>
      </w:r>
      <w:r w:rsidR="00BB21FF" w:rsidRPr="008F486E">
        <w:rPr>
          <w:rFonts w:ascii="Arial" w:hAnsi="Arial" w:cs="Arial"/>
          <w:b/>
          <w:sz w:val="24"/>
          <w:szCs w:val="24"/>
        </w:rPr>
        <w:t xml:space="preserve"> Ámbito Internacional</w:t>
      </w:r>
    </w:p>
    <w:p w:rsidR="00CD4911" w:rsidRPr="008F486E" w:rsidRDefault="00CD4911" w:rsidP="008F486E">
      <w:pPr>
        <w:pStyle w:val="Prrafodelista"/>
        <w:spacing w:line="360" w:lineRule="auto"/>
        <w:jc w:val="both"/>
        <w:rPr>
          <w:rFonts w:ascii="Arial" w:hAnsi="Arial" w:cs="Arial"/>
          <w:b/>
          <w:sz w:val="24"/>
          <w:szCs w:val="24"/>
        </w:rPr>
      </w:pPr>
    </w:p>
    <w:p w:rsidR="001A1E9C" w:rsidRPr="008F486E" w:rsidRDefault="009C1030" w:rsidP="008F486E">
      <w:pPr>
        <w:pStyle w:val="Prrafodelista"/>
        <w:numPr>
          <w:ilvl w:val="0"/>
          <w:numId w:val="24"/>
        </w:numPr>
        <w:spacing w:line="360" w:lineRule="auto"/>
        <w:jc w:val="both"/>
        <w:rPr>
          <w:rFonts w:ascii="Arial" w:hAnsi="Arial" w:cs="Arial"/>
          <w:b/>
          <w:i/>
          <w:sz w:val="24"/>
          <w:szCs w:val="24"/>
        </w:rPr>
      </w:pPr>
      <w:r w:rsidRPr="008F486E">
        <w:rPr>
          <w:rFonts w:ascii="Arial" w:hAnsi="Arial" w:cs="Arial"/>
          <w:b/>
          <w:i/>
          <w:sz w:val="24"/>
          <w:szCs w:val="24"/>
        </w:rPr>
        <w:t>Acuerdos m</w:t>
      </w:r>
      <w:r w:rsidR="0029251F" w:rsidRPr="008F486E">
        <w:rPr>
          <w:rFonts w:ascii="Arial" w:hAnsi="Arial" w:cs="Arial"/>
          <w:b/>
          <w:i/>
          <w:sz w:val="24"/>
          <w:szCs w:val="24"/>
        </w:rPr>
        <w:t>ultilaterales</w:t>
      </w:r>
    </w:p>
    <w:p w:rsidR="00CA3CBF" w:rsidRPr="008F486E" w:rsidRDefault="0029251F" w:rsidP="008F486E">
      <w:pPr>
        <w:spacing w:line="360" w:lineRule="auto"/>
        <w:ind w:firstLine="360"/>
        <w:jc w:val="both"/>
        <w:rPr>
          <w:rFonts w:ascii="Arial" w:hAnsi="Arial" w:cs="Arial"/>
          <w:sz w:val="24"/>
          <w:szCs w:val="24"/>
        </w:rPr>
      </w:pPr>
      <w:r w:rsidRPr="008F486E">
        <w:rPr>
          <w:rFonts w:ascii="Arial" w:hAnsi="Arial" w:cs="Arial"/>
          <w:sz w:val="24"/>
          <w:szCs w:val="24"/>
        </w:rPr>
        <w:t>El proceso de globalización también se refleja en la necesidad de suscribir acuer</w:t>
      </w:r>
      <w:r w:rsidR="00502954" w:rsidRPr="008F486E">
        <w:rPr>
          <w:rFonts w:ascii="Arial" w:hAnsi="Arial" w:cs="Arial"/>
          <w:sz w:val="24"/>
          <w:szCs w:val="24"/>
        </w:rPr>
        <w:t xml:space="preserve">dos de naturaleza multilateral </w:t>
      </w:r>
      <w:r w:rsidRPr="008F486E">
        <w:rPr>
          <w:rFonts w:ascii="Arial" w:hAnsi="Arial" w:cs="Arial"/>
          <w:sz w:val="24"/>
          <w:szCs w:val="24"/>
        </w:rPr>
        <w:t xml:space="preserve">relativos a la exploración y utilización del espacio ultraterrestre sin que </w:t>
      </w:r>
      <w:r w:rsidR="00502954" w:rsidRPr="008F486E">
        <w:rPr>
          <w:rFonts w:ascii="Arial" w:hAnsi="Arial" w:cs="Arial"/>
          <w:sz w:val="24"/>
          <w:szCs w:val="24"/>
        </w:rPr>
        <w:t xml:space="preserve">necesariamente </w:t>
      </w:r>
      <w:r w:rsidRPr="008F486E">
        <w:rPr>
          <w:rFonts w:ascii="Arial" w:hAnsi="Arial" w:cs="Arial"/>
          <w:sz w:val="24"/>
          <w:szCs w:val="24"/>
        </w:rPr>
        <w:t>estén circunscritos al ámbito de las Naciones Unidas. Estos Acuerdos pueden tener un carácter general o re</w:t>
      </w:r>
      <w:r w:rsidR="00502954" w:rsidRPr="008F486E">
        <w:rPr>
          <w:rFonts w:ascii="Arial" w:hAnsi="Arial" w:cs="Arial"/>
          <w:sz w:val="24"/>
          <w:szCs w:val="24"/>
        </w:rPr>
        <w:t>gional, veamos algunos ejemplos</w:t>
      </w:r>
      <w:r w:rsidRPr="008F486E">
        <w:rPr>
          <w:rFonts w:ascii="Arial" w:hAnsi="Arial" w:cs="Arial"/>
          <w:sz w:val="24"/>
          <w:szCs w:val="24"/>
        </w:rPr>
        <w:t>:</w:t>
      </w:r>
    </w:p>
    <w:p w:rsidR="001E7FBF" w:rsidRPr="008F486E" w:rsidRDefault="008660E0" w:rsidP="008F486E">
      <w:pPr>
        <w:pStyle w:val="Prrafodelista"/>
        <w:numPr>
          <w:ilvl w:val="0"/>
          <w:numId w:val="41"/>
        </w:numPr>
        <w:spacing w:line="360" w:lineRule="auto"/>
        <w:jc w:val="both"/>
        <w:rPr>
          <w:rFonts w:ascii="Arial" w:hAnsi="Arial" w:cs="Arial"/>
          <w:i/>
          <w:sz w:val="24"/>
          <w:szCs w:val="24"/>
        </w:rPr>
      </w:pPr>
      <w:r w:rsidRPr="008F486E">
        <w:rPr>
          <w:rFonts w:ascii="Arial" w:hAnsi="Arial" w:cs="Arial"/>
          <w:i/>
          <w:sz w:val="24"/>
          <w:szCs w:val="24"/>
        </w:rPr>
        <w:t>Acuerdos de</w:t>
      </w:r>
      <w:r w:rsidR="00C2659D" w:rsidRPr="008F486E">
        <w:rPr>
          <w:rFonts w:ascii="Arial" w:hAnsi="Arial" w:cs="Arial"/>
          <w:i/>
          <w:sz w:val="24"/>
          <w:szCs w:val="24"/>
        </w:rPr>
        <w:t xml:space="preserve"> c</w:t>
      </w:r>
      <w:r w:rsidR="001E7FBF" w:rsidRPr="008F486E">
        <w:rPr>
          <w:rFonts w:ascii="Arial" w:hAnsi="Arial" w:cs="Arial"/>
          <w:i/>
          <w:sz w:val="24"/>
          <w:szCs w:val="24"/>
        </w:rPr>
        <w:t>arácter general:</w:t>
      </w:r>
    </w:p>
    <w:p w:rsidR="00C2659D" w:rsidRPr="008F486E" w:rsidRDefault="00402FFB" w:rsidP="008F486E">
      <w:pPr>
        <w:spacing w:line="360" w:lineRule="auto"/>
        <w:ind w:firstLine="708"/>
        <w:jc w:val="both"/>
        <w:rPr>
          <w:rFonts w:ascii="Arial" w:hAnsi="Arial" w:cs="Arial"/>
          <w:sz w:val="24"/>
          <w:szCs w:val="24"/>
        </w:rPr>
      </w:pPr>
      <w:r w:rsidRPr="008F486E">
        <w:rPr>
          <w:rFonts w:ascii="Arial" w:hAnsi="Arial" w:cs="Arial"/>
          <w:i/>
          <w:sz w:val="24"/>
          <w:szCs w:val="24"/>
        </w:rPr>
        <w:t>Tratado por el que se prohíben los ensayos con armas nucleares en la atmósfera, el espacio ultraterrestre y debajo del agua, de 5 de agosto de 1963</w:t>
      </w:r>
      <w:r w:rsidR="00105D27" w:rsidRPr="008F486E">
        <w:rPr>
          <w:rStyle w:val="Refdenotaalpie"/>
          <w:rFonts w:ascii="Arial" w:hAnsi="Arial" w:cs="Arial"/>
          <w:i/>
          <w:sz w:val="24"/>
          <w:szCs w:val="24"/>
        </w:rPr>
        <w:footnoteReference w:id="40"/>
      </w:r>
      <w:r w:rsidRPr="008F486E">
        <w:rPr>
          <w:rFonts w:ascii="Arial" w:hAnsi="Arial" w:cs="Arial"/>
          <w:sz w:val="24"/>
          <w:szCs w:val="24"/>
        </w:rPr>
        <w:t>. Mediante el cual las Partes en el Tratado se comprometen a prohibir, evitar y a no verificar explosiones de pruebas de armas nucleares, o cualquier otra clase de explosión nuclear, en cualquier lugar bajo su jurisdi</w:t>
      </w:r>
      <w:r w:rsidR="00502954" w:rsidRPr="008F486E">
        <w:rPr>
          <w:rFonts w:ascii="Arial" w:hAnsi="Arial" w:cs="Arial"/>
          <w:sz w:val="24"/>
          <w:szCs w:val="24"/>
        </w:rPr>
        <w:t>cción y control en la atmósfera</w:t>
      </w:r>
      <w:r w:rsidRPr="008F486E">
        <w:rPr>
          <w:rFonts w:ascii="Arial" w:hAnsi="Arial" w:cs="Arial"/>
          <w:sz w:val="24"/>
          <w:szCs w:val="24"/>
        </w:rPr>
        <w:t>: más allá de sus límites, incluyendo el espacio ultraterrestre o debajo del agua</w:t>
      </w:r>
      <w:r w:rsidR="004E6994" w:rsidRPr="008F486E">
        <w:rPr>
          <w:rFonts w:ascii="Arial" w:hAnsi="Arial" w:cs="Arial"/>
          <w:sz w:val="24"/>
          <w:szCs w:val="24"/>
        </w:rPr>
        <w:t xml:space="preserve"> (</w:t>
      </w:r>
      <w:r w:rsidR="00F47C01" w:rsidRPr="008F486E">
        <w:rPr>
          <w:rFonts w:ascii="Arial" w:hAnsi="Arial" w:cs="Arial"/>
          <w:sz w:val="24"/>
          <w:szCs w:val="24"/>
        </w:rPr>
        <w:t>aguas territoriales y</w:t>
      </w:r>
      <w:r w:rsidRPr="008F486E">
        <w:rPr>
          <w:rFonts w:ascii="Arial" w:hAnsi="Arial" w:cs="Arial"/>
          <w:sz w:val="24"/>
          <w:szCs w:val="24"/>
        </w:rPr>
        <w:t xml:space="preserve"> alta mar</w:t>
      </w:r>
      <w:r w:rsidR="00F47C01" w:rsidRPr="008F486E">
        <w:rPr>
          <w:rFonts w:ascii="Arial" w:hAnsi="Arial" w:cs="Arial"/>
          <w:sz w:val="24"/>
          <w:szCs w:val="24"/>
        </w:rPr>
        <w:t>)</w:t>
      </w:r>
      <w:r w:rsidRPr="008F486E">
        <w:rPr>
          <w:rFonts w:ascii="Arial" w:hAnsi="Arial" w:cs="Arial"/>
          <w:sz w:val="24"/>
          <w:szCs w:val="24"/>
        </w:rPr>
        <w:t>. Además, los Estados se comprometen a abstenerse de causar, fomentar o de cualquier manera participar, en la realización de pruebas de armas nucleares, o cualquier e</w:t>
      </w:r>
      <w:r w:rsidR="006C6724" w:rsidRPr="008F486E">
        <w:rPr>
          <w:rFonts w:ascii="Arial" w:hAnsi="Arial" w:cs="Arial"/>
          <w:sz w:val="24"/>
          <w:szCs w:val="24"/>
        </w:rPr>
        <w:t>xplosión nuclear en el espacio ultraterrestre.</w:t>
      </w:r>
    </w:p>
    <w:p w:rsidR="00D01A73" w:rsidRPr="008F486E" w:rsidRDefault="006C6724" w:rsidP="008F486E">
      <w:pPr>
        <w:spacing w:line="360" w:lineRule="auto"/>
        <w:ind w:firstLine="708"/>
        <w:jc w:val="both"/>
        <w:rPr>
          <w:rFonts w:ascii="Arial" w:hAnsi="Arial" w:cs="Arial"/>
          <w:sz w:val="24"/>
          <w:szCs w:val="24"/>
        </w:rPr>
      </w:pPr>
      <w:r w:rsidRPr="008F486E">
        <w:rPr>
          <w:rFonts w:ascii="Arial" w:hAnsi="Arial" w:cs="Arial"/>
          <w:i/>
          <w:sz w:val="24"/>
          <w:szCs w:val="24"/>
        </w:rPr>
        <w:t>Convenio sobre la distribución de señales portadoras de programas transmitidas por satélite, de 21 de mayo de 1974</w:t>
      </w:r>
      <w:r w:rsidR="0003353E" w:rsidRPr="008F486E">
        <w:rPr>
          <w:rStyle w:val="Refdenotaalpie"/>
          <w:rFonts w:ascii="Arial" w:hAnsi="Arial" w:cs="Arial"/>
          <w:i/>
          <w:sz w:val="24"/>
          <w:szCs w:val="24"/>
        </w:rPr>
        <w:footnoteReference w:id="41"/>
      </w:r>
      <w:r w:rsidRPr="008F486E">
        <w:rPr>
          <w:rFonts w:ascii="Arial" w:hAnsi="Arial" w:cs="Arial"/>
          <w:sz w:val="24"/>
          <w:szCs w:val="24"/>
        </w:rPr>
        <w:t xml:space="preserve">. </w:t>
      </w:r>
      <w:r w:rsidR="001E7FBF" w:rsidRPr="008F486E">
        <w:rPr>
          <w:rFonts w:ascii="Arial" w:hAnsi="Arial" w:cs="Arial"/>
          <w:sz w:val="24"/>
          <w:szCs w:val="24"/>
        </w:rPr>
        <w:t xml:space="preserve"> Este Convenio </w:t>
      </w:r>
      <w:r w:rsidRPr="008F486E">
        <w:rPr>
          <w:rFonts w:ascii="Arial" w:hAnsi="Arial" w:cs="Arial"/>
          <w:sz w:val="24"/>
          <w:szCs w:val="24"/>
        </w:rPr>
        <w:t xml:space="preserve">dispone que cada uno de los Estados contratantes se obliga a tomar todas las medidas adecuadas y necesarias para impedir que, en o desde su territorio, se distribuya cualquier señal portadora de un programa, por un distribuidor a quien no esté destinada la señal, si ésta ha sido dirigida hacia un satélite o ha pasado </w:t>
      </w:r>
      <w:r w:rsidRPr="008F486E">
        <w:rPr>
          <w:rFonts w:ascii="Arial" w:hAnsi="Arial" w:cs="Arial"/>
          <w:sz w:val="24"/>
          <w:szCs w:val="24"/>
        </w:rPr>
        <w:lastRenderedPageBreak/>
        <w:t>a través de un satélite. La obligación de tomar esas medidas existirá cuando el organismo de origen</w:t>
      </w:r>
      <w:r w:rsidR="00C2659D" w:rsidRPr="008F486E">
        <w:rPr>
          <w:rFonts w:ascii="Arial" w:hAnsi="Arial" w:cs="Arial"/>
          <w:sz w:val="24"/>
          <w:szCs w:val="24"/>
        </w:rPr>
        <w:t xml:space="preserve"> posea la nacionalidad de otro E</w:t>
      </w:r>
      <w:r w:rsidRPr="008F486E">
        <w:rPr>
          <w:rFonts w:ascii="Arial" w:hAnsi="Arial" w:cs="Arial"/>
          <w:sz w:val="24"/>
          <w:szCs w:val="24"/>
        </w:rPr>
        <w:t>stado contrat</w:t>
      </w:r>
      <w:r w:rsidR="001E7FBF" w:rsidRPr="008F486E">
        <w:rPr>
          <w:rFonts w:ascii="Arial" w:hAnsi="Arial" w:cs="Arial"/>
          <w:sz w:val="24"/>
          <w:szCs w:val="24"/>
        </w:rPr>
        <w:t>ante y cuando la señal distribui</w:t>
      </w:r>
      <w:r w:rsidRPr="008F486E">
        <w:rPr>
          <w:rFonts w:ascii="Arial" w:hAnsi="Arial" w:cs="Arial"/>
          <w:sz w:val="24"/>
          <w:szCs w:val="24"/>
        </w:rPr>
        <w:t>da sea una señal derivada. Esta obligación no será aplicable a la distribución de señales derivadas procedentes de señales ya distribuidas por un distribuidor al que las señales emitidas estaban destinadas. El presente Convenio no será aplicable cuando las señales emitidas por o en nombre del organismo de origen, estén destinadas a la recepción directa desde el satélite al público en general.</w:t>
      </w:r>
      <w:r w:rsidR="001E7FBF" w:rsidRPr="008F486E">
        <w:rPr>
          <w:rFonts w:ascii="Arial" w:hAnsi="Arial" w:cs="Arial"/>
          <w:sz w:val="24"/>
          <w:szCs w:val="24"/>
        </w:rPr>
        <w:t xml:space="preserve"> Tampoco será de aplicación el presente convenio cuando la señal dist</w:t>
      </w:r>
      <w:r w:rsidR="00502954" w:rsidRPr="008F486E">
        <w:rPr>
          <w:rFonts w:ascii="Arial" w:hAnsi="Arial" w:cs="Arial"/>
          <w:sz w:val="24"/>
          <w:szCs w:val="24"/>
        </w:rPr>
        <w:t>ribuida en el territorio de un E</w:t>
      </w:r>
      <w:r w:rsidR="001E7FBF" w:rsidRPr="008F486E">
        <w:rPr>
          <w:rFonts w:ascii="Arial" w:hAnsi="Arial" w:cs="Arial"/>
          <w:sz w:val="24"/>
          <w:szCs w:val="24"/>
        </w:rPr>
        <w:t>stado contratante por un distribuidor a quien no esté destinada la señal emitida sea portadora de un programa incorporado a la señal emitida, siempre que el territorio de que se trate sea el de un Estado contratante que tenga la consideración de país en desarrollo, según la práctica establecida por la AGNU, y a condición de que la distribución se efectúe sólo con propósitos de enseñanza, incluida la de adultos, o de investigación científica.</w:t>
      </w:r>
    </w:p>
    <w:p w:rsidR="00AD0F70" w:rsidRPr="008F486E" w:rsidRDefault="00AD0F70" w:rsidP="008F486E">
      <w:pPr>
        <w:spacing w:line="360" w:lineRule="auto"/>
        <w:ind w:firstLine="708"/>
        <w:jc w:val="both"/>
        <w:rPr>
          <w:rFonts w:ascii="Arial" w:hAnsi="Arial" w:cs="Arial"/>
          <w:i/>
          <w:sz w:val="24"/>
          <w:szCs w:val="24"/>
        </w:rPr>
      </w:pPr>
    </w:p>
    <w:p w:rsidR="006A7A20" w:rsidRPr="008F486E" w:rsidRDefault="006A7A20" w:rsidP="008F486E">
      <w:pPr>
        <w:spacing w:line="360" w:lineRule="auto"/>
        <w:ind w:firstLine="708"/>
        <w:jc w:val="both"/>
        <w:rPr>
          <w:rFonts w:ascii="Arial" w:hAnsi="Arial" w:cs="Arial"/>
          <w:sz w:val="24"/>
          <w:szCs w:val="24"/>
        </w:rPr>
      </w:pPr>
      <w:r w:rsidRPr="008F486E">
        <w:rPr>
          <w:rFonts w:ascii="Arial" w:hAnsi="Arial" w:cs="Arial"/>
          <w:i/>
          <w:sz w:val="24"/>
          <w:szCs w:val="24"/>
        </w:rPr>
        <w:t>Acuer</w:t>
      </w:r>
      <w:r w:rsidR="003F6C5C" w:rsidRPr="008F486E">
        <w:rPr>
          <w:rFonts w:ascii="Arial" w:hAnsi="Arial" w:cs="Arial"/>
          <w:i/>
          <w:sz w:val="24"/>
          <w:szCs w:val="24"/>
        </w:rPr>
        <w:t>do relativo a la Organización I</w:t>
      </w:r>
      <w:r w:rsidRPr="008F486E">
        <w:rPr>
          <w:rFonts w:ascii="Arial" w:hAnsi="Arial" w:cs="Arial"/>
          <w:i/>
          <w:sz w:val="24"/>
          <w:szCs w:val="24"/>
        </w:rPr>
        <w:t>nternacional de T</w:t>
      </w:r>
      <w:r w:rsidR="001E7FBF" w:rsidRPr="008F486E">
        <w:rPr>
          <w:rFonts w:ascii="Arial" w:hAnsi="Arial" w:cs="Arial"/>
          <w:i/>
          <w:sz w:val="24"/>
          <w:szCs w:val="24"/>
        </w:rPr>
        <w:t>elecomunicaciones por satélite (ITSO), de 17 de noviembre de 2000, enmendado el 23 de marzo de 2007</w:t>
      </w:r>
      <w:r w:rsidR="00CE2CCE" w:rsidRPr="008F486E">
        <w:rPr>
          <w:rStyle w:val="Refdenotaalpie"/>
          <w:rFonts w:ascii="Arial" w:hAnsi="Arial" w:cs="Arial"/>
          <w:i/>
          <w:sz w:val="24"/>
          <w:szCs w:val="24"/>
        </w:rPr>
        <w:footnoteReference w:id="42"/>
      </w:r>
      <w:r w:rsidR="001E7FBF" w:rsidRPr="008F486E">
        <w:rPr>
          <w:rFonts w:ascii="Arial" w:hAnsi="Arial" w:cs="Arial"/>
          <w:i/>
          <w:sz w:val="24"/>
          <w:szCs w:val="24"/>
        </w:rPr>
        <w:t>.</w:t>
      </w:r>
      <w:r w:rsidR="001E7FBF" w:rsidRPr="008F486E">
        <w:rPr>
          <w:rFonts w:ascii="Arial" w:hAnsi="Arial" w:cs="Arial"/>
          <w:sz w:val="24"/>
          <w:szCs w:val="24"/>
        </w:rPr>
        <w:t xml:space="preserve"> </w:t>
      </w:r>
      <w:r w:rsidR="00AF3738" w:rsidRPr="008F486E">
        <w:rPr>
          <w:rFonts w:ascii="Arial" w:hAnsi="Arial" w:cs="Arial"/>
          <w:sz w:val="24"/>
          <w:szCs w:val="24"/>
        </w:rPr>
        <w:t>El fin primordial de ITSO</w:t>
      </w:r>
      <w:r w:rsidRPr="008F486E">
        <w:rPr>
          <w:rFonts w:ascii="Arial" w:hAnsi="Arial" w:cs="Arial"/>
          <w:sz w:val="24"/>
          <w:szCs w:val="24"/>
        </w:rPr>
        <w:t xml:space="preserve"> (antiguo INTELSAT)</w:t>
      </w:r>
      <w:r w:rsidR="00AF3738" w:rsidRPr="008F486E">
        <w:rPr>
          <w:rFonts w:ascii="Arial" w:hAnsi="Arial" w:cs="Arial"/>
          <w:sz w:val="24"/>
          <w:szCs w:val="24"/>
        </w:rPr>
        <w:t xml:space="preserve"> es asegurar, mediante el Acuerdo de Servi</w:t>
      </w:r>
      <w:r w:rsidR="00B85BE7" w:rsidRPr="008F486E">
        <w:rPr>
          <w:rFonts w:ascii="Arial" w:hAnsi="Arial" w:cs="Arial"/>
          <w:sz w:val="24"/>
          <w:szCs w:val="24"/>
        </w:rPr>
        <w:t>cios Públicos, que la Sociedad s</w:t>
      </w:r>
      <w:r w:rsidR="00AF3738" w:rsidRPr="008F486E">
        <w:rPr>
          <w:rFonts w:ascii="Arial" w:hAnsi="Arial" w:cs="Arial"/>
          <w:sz w:val="24"/>
          <w:szCs w:val="24"/>
        </w:rPr>
        <w:t>uministre, sobre una base comercial, servicios internacionales (o nacionales en determinados supuestos) públicos de telecomunicaciones, con el objeto de vigilar que se cumplan los siguientes principios f</w:t>
      </w:r>
      <w:r w:rsidR="00B85BE7" w:rsidRPr="008F486E">
        <w:rPr>
          <w:rFonts w:ascii="Arial" w:hAnsi="Arial" w:cs="Arial"/>
          <w:sz w:val="24"/>
          <w:szCs w:val="24"/>
        </w:rPr>
        <w:t>undam</w:t>
      </w:r>
      <w:r w:rsidR="00F72DCE" w:rsidRPr="008F486E">
        <w:rPr>
          <w:rFonts w:ascii="Arial" w:hAnsi="Arial" w:cs="Arial"/>
          <w:sz w:val="24"/>
          <w:szCs w:val="24"/>
        </w:rPr>
        <w:t xml:space="preserve">entales: </w:t>
      </w:r>
      <w:r w:rsidR="00B85BE7" w:rsidRPr="008F486E">
        <w:rPr>
          <w:rFonts w:ascii="Arial" w:hAnsi="Arial" w:cs="Arial"/>
          <w:sz w:val="24"/>
          <w:szCs w:val="24"/>
        </w:rPr>
        <w:t>m</w:t>
      </w:r>
      <w:r w:rsidR="00AF3738" w:rsidRPr="008F486E">
        <w:rPr>
          <w:rFonts w:ascii="Arial" w:hAnsi="Arial" w:cs="Arial"/>
          <w:sz w:val="24"/>
          <w:szCs w:val="24"/>
        </w:rPr>
        <w:t>antener una conectividad mun</w:t>
      </w:r>
      <w:r w:rsidR="00B85BE7" w:rsidRPr="008F486E">
        <w:rPr>
          <w:rFonts w:ascii="Arial" w:hAnsi="Arial" w:cs="Arial"/>
          <w:sz w:val="24"/>
          <w:szCs w:val="24"/>
        </w:rPr>
        <w:t>dial y una cobertura global, a</w:t>
      </w:r>
      <w:r w:rsidR="00AF3738" w:rsidRPr="008F486E">
        <w:rPr>
          <w:rFonts w:ascii="Arial" w:hAnsi="Arial" w:cs="Arial"/>
          <w:sz w:val="24"/>
          <w:szCs w:val="24"/>
        </w:rPr>
        <w:t>tender a los cli</w:t>
      </w:r>
      <w:r w:rsidR="00B85BE7" w:rsidRPr="008F486E">
        <w:rPr>
          <w:rFonts w:ascii="Arial" w:hAnsi="Arial" w:cs="Arial"/>
          <w:sz w:val="24"/>
          <w:szCs w:val="24"/>
        </w:rPr>
        <w:t>entes con conectividad vital y o</w:t>
      </w:r>
      <w:r w:rsidR="00AF3738" w:rsidRPr="008F486E">
        <w:rPr>
          <w:rFonts w:ascii="Arial" w:hAnsi="Arial" w:cs="Arial"/>
          <w:sz w:val="24"/>
          <w:szCs w:val="24"/>
        </w:rPr>
        <w:t>frecer acceso no discriminatorio al sistema de la Sociedad. A este respecto, véase también el Acuerdo Operativo relativo a la Organización Internacional de telecomunicaciones por satélite “INTELSAT”, de 20 de agosto de 1971, enmendado el 4 de abril de 1995 y</w:t>
      </w:r>
      <w:r w:rsidR="00F72DCE" w:rsidRPr="008F486E">
        <w:rPr>
          <w:rFonts w:ascii="Arial" w:hAnsi="Arial" w:cs="Arial"/>
          <w:sz w:val="24"/>
          <w:szCs w:val="24"/>
        </w:rPr>
        <w:t xml:space="preserve"> el</w:t>
      </w:r>
      <w:r w:rsidR="00AF3738" w:rsidRPr="008F486E">
        <w:rPr>
          <w:rFonts w:ascii="Arial" w:hAnsi="Arial" w:cs="Arial"/>
          <w:sz w:val="24"/>
          <w:szCs w:val="24"/>
        </w:rPr>
        <w:t xml:space="preserve"> 17 de noviembre de 2000.</w:t>
      </w:r>
    </w:p>
    <w:p w:rsidR="00CD4911" w:rsidRPr="008F486E" w:rsidRDefault="006A7A20" w:rsidP="008F486E">
      <w:pPr>
        <w:spacing w:line="360" w:lineRule="auto"/>
        <w:ind w:firstLine="708"/>
        <w:jc w:val="both"/>
        <w:rPr>
          <w:rFonts w:ascii="Arial" w:hAnsi="Arial" w:cs="Arial"/>
          <w:sz w:val="24"/>
          <w:szCs w:val="24"/>
        </w:rPr>
      </w:pPr>
      <w:r w:rsidRPr="008F486E">
        <w:rPr>
          <w:rFonts w:ascii="Arial" w:hAnsi="Arial" w:cs="Arial"/>
          <w:i/>
          <w:sz w:val="24"/>
          <w:szCs w:val="24"/>
        </w:rPr>
        <w:t xml:space="preserve">Convenio constitutivo de la Organización Internacional de Telecomunicaciones Móviles por satélite (IMSO) enmendado de acuerdo con las enmiendas al Convenio adoptadas por la Asamblea de la IMSO en su </w:t>
      </w:r>
      <w:r w:rsidRPr="008F486E">
        <w:rPr>
          <w:rFonts w:ascii="Arial" w:hAnsi="Arial" w:cs="Arial"/>
          <w:i/>
          <w:sz w:val="24"/>
          <w:szCs w:val="24"/>
        </w:rPr>
        <w:lastRenderedPageBreak/>
        <w:t>Vigésimo Período de sesiones, Aplicación provisional desde el 6 de octubre de 2008</w:t>
      </w:r>
      <w:r w:rsidR="00D01A73" w:rsidRPr="008F486E">
        <w:rPr>
          <w:rStyle w:val="Refdenotaalpie"/>
          <w:rFonts w:ascii="Arial" w:hAnsi="Arial" w:cs="Arial"/>
          <w:i/>
          <w:sz w:val="24"/>
          <w:szCs w:val="24"/>
        </w:rPr>
        <w:footnoteReference w:id="43"/>
      </w:r>
      <w:r w:rsidRPr="008F486E">
        <w:rPr>
          <w:rFonts w:ascii="Arial" w:hAnsi="Arial" w:cs="Arial"/>
          <w:sz w:val="24"/>
          <w:szCs w:val="24"/>
        </w:rPr>
        <w:t xml:space="preserve">. </w:t>
      </w:r>
      <w:r w:rsidR="003F6C5C" w:rsidRPr="008F486E">
        <w:rPr>
          <w:rFonts w:ascii="Arial" w:hAnsi="Arial" w:cs="Arial"/>
          <w:sz w:val="24"/>
          <w:szCs w:val="24"/>
        </w:rPr>
        <w:t>La finalidad principal de IMSO es asegurar la provisión, por parte de cada proveedor, de servicios de comunicaciones móviles marítimas por satélite para e</w:t>
      </w:r>
      <w:r w:rsidR="00B85BE7" w:rsidRPr="008F486E">
        <w:rPr>
          <w:rFonts w:ascii="Arial" w:hAnsi="Arial" w:cs="Arial"/>
          <w:sz w:val="24"/>
          <w:szCs w:val="24"/>
        </w:rPr>
        <w:t xml:space="preserve">l </w:t>
      </w:r>
      <w:r w:rsidR="00B85BE7" w:rsidRPr="008F486E">
        <w:rPr>
          <w:rFonts w:ascii="Arial" w:hAnsi="Arial" w:cs="Arial"/>
          <w:i/>
          <w:sz w:val="24"/>
          <w:szCs w:val="24"/>
        </w:rPr>
        <w:t>SMSSM</w:t>
      </w:r>
      <w:r w:rsidR="00B85BE7" w:rsidRPr="008F486E">
        <w:rPr>
          <w:rFonts w:ascii="Arial" w:hAnsi="Arial" w:cs="Arial"/>
          <w:sz w:val="24"/>
          <w:szCs w:val="24"/>
        </w:rPr>
        <w:t xml:space="preserve"> (Radiocomunicación del S</w:t>
      </w:r>
      <w:r w:rsidR="003F6C5C" w:rsidRPr="008F486E">
        <w:rPr>
          <w:rFonts w:ascii="Arial" w:hAnsi="Arial" w:cs="Arial"/>
          <w:sz w:val="24"/>
          <w:szCs w:val="24"/>
        </w:rPr>
        <w:t>istema Mundial de Socorro y Seguridad Marítimos) de conformidad con el marco mundial establecido por la OMI (Organización Marítima Internacional), con fines pacíficos y llevar a cabo funciones de supervisión leal y coherentemente con los Proveedores. IMSO sustituye a INMARSAT que entre sus finalidades contaba con la de prestar comunicaciones aeronáuticas y móviles terrestres por satélites</w:t>
      </w:r>
      <w:r w:rsidR="00BF10D8" w:rsidRPr="008F486E">
        <w:rPr>
          <w:rFonts w:ascii="Arial" w:hAnsi="Arial" w:cs="Arial"/>
          <w:sz w:val="24"/>
          <w:szCs w:val="24"/>
        </w:rPr>
        <w:t xml:space="preserve"> para la gestión del tráfico aéreo y el control operacional de aeronaves (servicios aeronáuticos de seguridad)</w:t>
      </w:r>
      <w:r w:rsidR="00CD4911" w:rsidRPr="008F486E">
        <w:rPr>
          <w:rStyle w:val="Refdenotaalpie"/>
          <w:rFonts w:ascii="Arial" w:hAnsi="Arial" w:cs="Arial"/>
          <w:i/>
          <w:sz w:val="24"/>
          <w:szCs w:val="24"/>
        </w:rPr>
        <w:t xml:space="preserve"> </w:t>
      </w:r>
      <w:r w:rsidR="00CD4911" w:rsidRPr="008F486E">
        <w:rPr>
          <w:rStyle w:val="Refdenotaalpie"/>
          <w:rFonts w:ascii="Arial" w:hAnsi="Arial" w:cs="Arial"/>
          <w:i/>
          <w:sz w:val="24"/>
          <w:szCs w:val="24"/>
        </w:rPr>
        <w:footnoteReference w:id="44"/>
      </w:r>
      <w:r w:rsidR="00BF10D8" w:rsidRPr="008F486E">
        <w:rPr>
          <w:rFonts w:ascii="Arial" w:hAnsi="Arial" w:cs="Arial"/>
          <w:sz w:val="24"/>
          <w:szCs w:val="24"/>
        </w:rPr>
        <w:t>, y que también presta servicios de radio</w:t>
      </w:r>
      <w:r w:rsidR="00E56E2F" w:rsidRPr="008F486E">
        <w:rPr>
          <w:rFonts w:ascii="Arial" w:hAnsi="Arial" w:cs="Arial"/>
          <w:sz w:val="24"/>
          <w:szCs w:val="24"/>
        </w:rPr>
        <w:t>-</w:t>
      </w:r>
      <w:r w:rsidR="00BF10D8" w:rsidRPr="008F486E">
        <w:rPr>
          <w:rFonts w:ascii="Arial" w:hAnsi="Arial" w:cs="Arial"/>
          <w:sz w:val="24"/>
          <w:szCs w:val="24"/>
        </w:rPr>
        <w:t>determinación.</w:t>
      </w:r>
    </w:p>
    <w:p w:rsidR="00B33E73" w:rsidRPr="008F486E" w:rsidRDefault="00B370D5" w:rsidP="008F486E">
      <w:pPr>
        <w:spacing w:line="360" w:lineRule="auto"/>
        <w:ind w:firstLine="708"/>
        <w:jc w:val="both"/>
        <w:rPr>
          <w:rFonts w:ascii="Arial" w:hAnsi="Arial" w:cs="Arial"/>
          <w:sz w:val="24"/>
          <w:szCs w:val="24"/>
        </w:rPr>
      </w:pPr>
      <w:r w:rsidRPr="008F486E">
        <w:rPr>
          <w:rFonts w:ascii="Arial" w:hAnsi="Arial" w:cs="Arial"/>
          <w:i/>
          <w:sz w:val="24"/>
          <w:szCs w:val="24"/>
        </w:rPr>
        <w:t>Acuerdo entre el Gobierno de Canadá, los Gobiernos de los Estados Miembros de la Agencia Espacial Europea, el Gobierno de Japón, el Gobierno de la Federación</w:t>
      </w:r>
      <w:r w:rsidR="009E4718" w:rsidRPr="008F486E">
        <w:rPr>
          <w:rFonts w:ascii="Arial" w:hAnsi="Arial" w:cs="Arial"/>
          <w:i/>
          <w:sz w:val="24"/>
          <w:szCs w:val="24"/>
        </w:rPr>
        <w:t xml:space="preserve"> de Rusia y el Gobierno de los E</w:t>
      </w:r>
      <w:r w:rsidRPr="008F486E">
        <w:rPr>
          <w:rFonts w:ascii="Arial" w:hAnsi="Arial" w:cs="Arial"/>
          <w:i/>
          <w:sz w:val="24"/>
          <w:szCs w:val="24"/>
        </w:rPr>
        <w:t>stados Unidos de América relativo a la cooperación sobre la Estación Espacial Civil Internacional, y Acuerdo relativo a la Aplicación del Acuerdo Intergubernamental sobre la Estación Espacial hasta su entrada en vigor, hechos en Washington el 29 de enero de 1998</w:t>
      </w:r>
      <w:r w:rsidR="00E41A23" w:rsidRPr="008F486E">
        <w:rPr>
          <w:rStyle w:val="Refdenotaalpie"/>
          <w:rFonts w:ascii="Arial" w:hAnsi="Arial" w:cs="Arial"/>
          <w:i/>
          <w:sz w:val="24"/>
          <w:szCs w:val="24"/>
        </w:rPr>
        <w:footnoteReference w:id="45"/>
      </w:r>
      <w:r w:rsidRPr="008F486E">
        <w:rPr>
          <w:rFonts w:ascii="Arial" w:hAnsi="Arial" w:cs="Arial"/>
          <w:sz w:val="24"/>
          <w:szCs w:val="24"/>
        </w:rPr>
        <w:t>. Este proyecto de cooperación espacia</w:t>
      </w:r>
      <w:r w:rsidR="00F47C01" w:rsidRPr="008F486E">
        <w:rPr>
          <w:rFonts w:ascii="Arial" w:hAnsi="Arial" w:cs="Arial"/>
          <w:sz w:val="24"/>
          <w:szCs w:val="24"/>
        </w:rPr>
        <w:t>l es el más ambicioso habido hasta</w:t>
      </w:r>
      <w:r w:rsidRPr="008F486E">
        <w:rPr>
          <w:rFonts w:ascii="Arial" w:hAnsi="Arial" w:cs="Arial"/>
          <w:sz w:val="24"/>
          <w:szCs w:val="24"/>
        </w:rPr>
        <w:t xml:space="preserve"> el momento.</w:t>
      </w:r>
      <w:r w:rsidR="00CF7A09" w:rsidRPr="008F486E">
        <w:rPr>
          <w:rFonts w:ascii="Arial" w:hAnsi="Arial" w:cs="Arial"/>
          <w:sz w:val="24"/>
          <w:szCs w:val="24"/>
        </w:rPr>
        <w:t xml:space="preserve"> El objeto de este</w:t>
      </w:r>
      <w:r w:rsidR="00B85BE7" w:rsidRPr="008F486E">
        <w:rPr>
          <w:rFonts w:ascii="Arial" w:hAnsi="Arial" w:cs="Arial"/>
          <w:sz w:val="24"/>
          <w:szCs w:val="24"/>
        </w:rPr>
        <w:t xml:space="preserve"> Acuerdo Intergubernamental es </w:t>
      </w:r>
      <w:r w:rsidR="00CF7A09" w:rsidRPr="008F486E">
        <w:rPr>
          <w:rFonts w:ascii="Arial" w:hAnsi="Arial" w:cs="Arial"/>
          <w:sz w:val="24"/>
          <w:szCs w:val="24"/>
        </w:rPr>
        <w:t>establecer un marco de cooperación internacional a largo plazo entre los Asociados, sobre la base de una verdadera asociación para el diseño detallado, desarrollo, explotación y utilización de una Estación Espacial Civil Internacional permanentemente habitada, con fines pacíficos y de conformid</w:t>
      </w:r>
      <w:r w:rsidR="00B85BE7" w:rsidRPr="008F486E">
        <w:rPr>
          <w:rFonts w:ascii="Arial" w:hAnsi="Arial" w:cs="Arial"/>
          <w:sz w:val="24"/>
          <w:szCs w:val="24"/>
        </w:rPr>
        <w:t>ad con el derecho internacional</w:t>
      </w:r>
      <w:r w:rsidR="00CF7A09" w:rsidRPr="008F486E">
        <w:rPr>
          <w:rFonts w:ascii="Arial" w:hAnsi="Arial" w:cs="Arial"/>
          <w:sz w:val="24"/>
          <w:szCs w:val="24"/>
        </w:rPr>
        <w:t>.</w:t>
      </w:r>
      <w:r w:rsidR="0070200F" w:rsidRPr="008F486E">
        <w:rPr>
          <w:rFonts w:ascii="Arial" w:hAnsi="Arial" w:cs="Arial"/>
          <w:sz w:val="24"/>
          <w:szCs w:val="24"/>
        </w:rPr>
        <w:t xml:space="preserve"> El 21 de septiembre de 2017 se firmó en Adelaida una Declaración de cooperación entre EEUU y Rusia para colocar en órbita </w:t>
      </w:r>
      <w:r w:rsidR="0070200F" w:rsidRPr="008F486E">
        <w:rPr>
          <w:rFonts w:ascii="Arial" w:hAnsi="Arial" w:cs="Arial"/>
          <w:sz w:val="24"/>
          <w:szCs w:val="24"/>
        </w:rPr>
        <w:lastRenderedPageBreak/>
        <w:t>lunar una estación llamada “</w:t>
      </w:r>
      <w:proofErr w:type="spellStart"/>
      <w:r w:rsidR="0070200F" w:rsidRPr="008F486E">
        <w:rPr>
          <w:rFonts w:ascii="Arial" w:hAnsi="Arial" w:cs="Arial"/>
          <w:sz w:val="24"/>
          <w:szCs w:val="24"/>
        </w:rPr>
        <w:t>Deep</w:t>
      </w:r>
      <w:proofErr w:type="spellEnd"/>
      <w:r w:rsidR="0070200F" w:rsidRPr="008F486E">
        <w:rPr>
          <w:rFonts w:ascii="Arial" w:hAnsi="Arial" w:cs="Arial"/>
          <w:sz w:val="24"/>
          <w:szCs w:val="24"/>
        </w:rPr>
        <w:t xml:space="preserve"> </w:t>
      </w:r>
      <w:proofErr w:type="spellStart"/>
      <w:r w:rsidR="0070200F" w:rsidRPr="008F486E">
        <w:rPr>
          <w:rFonts w:ascii="Arial" w:hAnsi="Arial" w:cs="Arial"/>
          <w:sz w:val="24"/>
          <w:szCs w:val="24"/>
        </w:rPr>
        <w:t>Space</w:t>
      </w:r>
      <w:proofErr w:type="spellEnd"/>
      <w:r w:rsidR="0070200F" w:rsidRPr="008F486E">
        <w:rPr>
          <w:rFonts w:ascii="Arial" w:hAnsi="Arial" w:cs="Arial"/>
          <w:sz w:val="24"/>
          <w:szCs w:val="24"/>
        </w:rPr>
        <w:t xml:space="preserve"> Gateway -Puerta al Espacio Profundo” y que junto con otros asociados, como Europa y Japón, sea configurada como puerto de partida para las misiones tripuladas a Marte y otros puntos del Sist</w:t>
      </w:r>
      <w:r w:rsidR="008901FC" w:rsidRPr="008F486E">
        <w:rPr>
          <w:rFonts w:ascii="Arial" w:hAnsi="Arial" w:cs="Arial"/>
          <w:sz w:val="24"/>
          <w:szCs w:val="24"/>
        </w:rPr>
        <w:t>ema Solar, una vez la Estación E</w:t>
      </w:r>
      <w:r w:rsidR="0070200F" w:rsidRPr="008F486E">
        <w:rPr>
          <w:rFonts w:ascii="Arial" w:hAnsi="Arial" w:cs="Arial"/>
          <w:sz w:val="24"/>
          <w:szCs w:val="24"/>
        </w:rPr>
        <w:t>spacial Internacional finalice su vida operativa</w:t>
      </w:r>
      <w:r w:rsidR="008901FC" w:rsidRPr="008F486E">
        <w:rPr>
          <w:rFonts w:ascii="Arial" w:hAnsi="Arial" w:cs="Arial"/>
          <w:sz w:val="24"/>
          <w:szCs w:val="24"/>
        </w:rPr>
        <w:t xml:space="preserve"> y reingrese a la atmósfera terrestre de modo controlado como se hizo con la estación rusa MIR.</w:t>
      </w:r>
    </w:p>
    <w:p w:rsidR="00AD0F70" w:rsidRPr="008F486E" w:rsidRDefault="00AD0F70" w:rsidP="008F486E">
      <w:pPr>
        <w:spacing w:line="360" w:lineRule="auto"/>
        <w:ind w:firstLine="708"/>
        <w:jc w:val="both"/>
        <w:rPr>
          <w:rFonts w:ascii="Arial" w:hAnsi="Arial" w:cs="Arial"/>
          <w:i/>
          <w:sz w:val="24"/>
          <w:szCs w:val="24"/>
        </w:rPr>
      </w:pPr>
    </w:p>
    <w:p w:rsidR="00C2659D" w:rsidRPr="008F486E" w:rsidRDefault="0091514A" w:rsidP="008F486E">
      <w:pPr>
        <w:pStyle w:val="Prrafodelista"/>
        <w:numPr>
          <w:ilvl w:val="0"/>
          <w:numId w:val="41"/>
        </w:numPr>
        <w:spacing w:line="360" w:lineRule="auto"/>
        <w:jc w:val="both"/>
        <w:rPr>
          <w:rFonts w:ascii="Arial" w:hAnsi="Arial" w:cs="Arial"/>
          <w:i/>
          <w:sz w:val="24"/>
          <w:szCs w:val="24"/>
        </w:rPr>
      </w:pPr>
      <w:r w:rsidRPr="008F486E">
        <w:rPr>
          <w:rFonts w:ascii="Arial" w:hAnsi="Arial" w:cs="Arial"/>
          <w:i/>
          <w:sz w:val="24"/>
          <w:szCs w:val="24"/>
        </w:rPr>
        <w:t>Acuerdos de carácter regional:</w:t>
      </w:r>
    </w:p>
    <w:p w:rsidR="008D213F" w:rsidRPr="008F486E" w:rsidRDefault="007744B9" w:rsidP="008F486E">
      <w:pPr>
        <w:spacing w:line="360" w:lineRule="auto"/>
        <w:ind w:firstLine="360"/>
        <w:jc w:val="both"/>
        <w:rPr>
          <w:rFonts w:ascii="Arial" w:hAnsi="Arial" w:cs="Arial"/>
          <w:sz w:val="24"/>
          <w:szCs w:val="24"/>
        </w:rPr>
      </w:pPr>
      <w:r w:rsidRPr="008F486E">
        <w:rPr>
          <w:rFonts w:ascii="Arial" w:hAnsi="Arial" w:cs="Arial"/>
          <w:i/>
          <w:sz w:val="24"/>
          <w:szCs w:val="24"/>
        </w:rPr>
        <w:t>Convenio C</w:t>
      </w:r>
      <w:r w:rsidR="008D213F" w:rsidRPr="008F486E">
        <w:rPr>
          <w:rFonts w:ascii="Arial" w:hAnsi="Arial" w:cs="Arial"/>
          <w:i/>
          <w:sz w:val="24"/>
          <w:szCs w:val="24"/>
        </w:rPr>
        <w:t>onstitutivo de la Organización E</w:t>
      </w:r>
      <w:r w:rsidR="0091514A" w:rsidRPr="008F486E">
        <w:rPr>
          <w:rFonts w:ascii="Arial" w:hAnsi="Arial" w:cs="Arial"/>
          <w:i/>
          <w:sz w:val="24"/>
          <w:szCs w:val="24"/>
        </w:rPr>
        <w:t>uropea de Telecomunicaciones por satélite (EUTELSAT), de 15 de julio de 1982</w:t>
      </w:r>
      <w:r w:rsidR="0063066B" w:rsidRPr="008F486E">
        <w:rPr>
          <w:rStyle w:val="Refdenotaalpie"/>
          <w:rFonts w:ascii="Arial" w:hAnsi="Arial" w:cs="Arial"/>
          <w:i/>
          <w:sz w:val="24"/>
          <w:szCs w:val="24"/>
        </w:rPr>
        <w:footnoteReference w:id="46"/>
      </w:r>
      <w:r w:rsidR="0091514A" w:rsidRPr="008F486E">
        <w:rPr>
          <w:rFonts w:ascii="Arial" w:hAnsi="Arial" w:cs="Arial"/>
          <w:i/>
          <w:sz w:val="24"/>
          <w:szCs w:val="24"/>
        </w:rPr>
        <w:t>, enmendado el 20 de mayo de 1999</w:t>
      </w:r>
      <w:r w:rsidR="0063066B" w:rsidRPr="008F486E">
        <w:rPr>
          <w:rStyle w:val="Refdenotaalpie"/>
          <w:rFonts w:ascii="Arial" w:hAnsi="Arial" w:cs="Arial"/>
          <w:i/>
          <w:sz w:val="24"/>
          <w:szCs w:val="24"/>
        </w:rPr>
        <w:footnoteReference w:id="47"/>
      </w:r>
      <w:r w:rsidR="0091514A" w:rsidRPr="008F486E">
        <w:rPr>
          <w:rFonts w:ascii="Arial" w:hAnsi="Arial" w:cs="Arial"/>
          <w:sz w:val="24"/>
          <w:szCs w:val="24"/>
        </w:rPr>
        <w:t>.</w:t>
      </w:r>
      <w:r w:rsidR="008D213F" w:rsidRPr="008F486E">
        <w:rPr>
          <w:rFonts w:ascii="Arial" w:hAnsi="Arial" w:cs="Arial"/>
          <w:sz w:val="24"/>
          <w:szCs w:val="24"/>
        </w:rPr>
        <w:t xml:space="preserve"> EUTELSAT tendrá como misión principal velar por que la “Soci</w:t>
      </w:r>
      <w:r w:rsidR="005662A3" w:rsidRPr="008F486E">
        <w:rPr>
          <w:rFonts w:ascii="Arial" w:hAnsi="Arial" w:cs="Arial"/>
          <w:sz w:val="24"/>
          <w:szCs w:val="24"/>
        </w:rPr>
        <w:t>edad EUTELSAT, Sociedad Anónima”</w:t>
      </w:r>
      <w:r w:rsidR="008D213F" w:rsidRPr="008F486E">
        <w:rPr>
          <w:rFonts w:ascii="Arial" w:hAnsi="Arial" w:cs="Arial"/>
          <w:sz w:val="24"/>
          <w:szCs w:val="24"/>
        </w:rPr>
        <w:t xml:space="preserve"> re</w:t>
      </w:r>
      <w:r w:rsidR="005662A3" w:rsidRPr="008F486E">
        <w:rPr>
          <w:rFonts w:ascii="Arial" w:hAnsi="Arial" w:cs="Arial"/>
          <w:sz w:val="24"/>
          <w:szCs w:val="24"/>
        </w:rPr>
        <w:t>spete los siguientes principios</w:t>
      </w:r>
      <w:r w:rsidR="008D213F" w:rsidRPr="008F486E">
        <w:rPr>
          <w:rFonts w:ascii="Arial" w:hAnsi="Arial" w:cs="Arial"/>
          <w:sz w:val="24"/>
          <w:szCs w:val="24"/>
        </w:rPr>
        <w:t>:</w:t>
      </w:r>
      <w:r w:rsidR="005662A3" w:rsidRPr="008F486E">
        <w:rPr>
          <w:rFonts w:ascii="Arial" w:hAnsi="Arial" w:cs="Arial"/>
          <w:sz w:val="24"/>
          <w:szCs w:val="24"/>
        </w:rPr>
        <w:t xml:space="preserve"> i</w:t>
      </w:r>
      <w:r w:rsidR="008D213F" w:rsidRPr="008F486E">
        <w:rPr>
          <w:rFonts w:ascii="Arial" w:hAnsi="Arial" w:cs="Arial"/>
          <w:sz w:val="24"/>
          <w:szCs w:val="24"/>
        </w:rPr>
        <w:t>) obligaciones de servicio público/servicio general aplicables al segmento espacial y su utilización para servicios relacionados con la red telefónica pública conmutada, los servicios audiovisuales, de conformidad con las normas y convenios internacionales, en particular con las disposiciones del Convenio Europeo sobre Telev</w:t>
      </w:r>
      <w:r w:rsidR="005662A3" w:rsidRPr="008F486E">
        <w:rPr>
          <w:rFonts w:ascii="Arial" w:hAnsi="Arial" w:cs="Arial"/>
          <w:sz w:val="24"/>
          <w:szCs w:val="24"/>
        </w:rPr>
        <w:t>isión Transfronteriza; ii</w:t>
      </w:r>
      <w:r w:rsidR="008D213F" w:rsidRPr="008F486E">
        <w:rPr>
          <w:rFonts w:ascii="Arial" w:hAnsi="Arial" w:cs="Arial"/>
          <w:sz w:val="24"/>
          <w:szCs w:val="24"/>
        </w:rPr>
        <w:t>) Cobertura paneur</w:t>
      </w:r>
      <w:r w:rsidR="005662A3" w:rsidRPr="008F486E">
        <w:rPr>
          <w:rFonts w:ascii="Arial" w:hAnsi="Arial" w:cs="Arial"/>
          <w:sz w:val="24"/>
          <w:szCs w:val="24"/>
        </w:rPr>
        <w:t>opea del sistema de satélites; iii</w:t>
      </w:r>
      <w:r w:rsidR="008D213F" w:rsidRPr="008F486E">
        <w:rPr>
          <w:rFonts w:ascii="Arial" w:hAnsi="Arial" w:cs="Arial"/>
          <w:sz w:val="24"/>
          <w:szCs w:val="24"/>
        </w:rPr>
        <w:t>) no discriminación de los servicios a los usuarios</w:t>
      </w:r>
      <w:r w:rsidR="005662A3" w:rsidRPr="008F486E">
        <w:rPr>
          <w:rFonts w:ascii="Arial" w:hAnsi="Arial" w:cs="Arial"/>
          <w:sz w:val="24"/>
          <w:szCs w:val="24"/>
        </w:rPr>
        <w:t>; iv</w:t>
      </w:r>
      <w:r w:rsidRPr="008F486E">
        <w:rPr>
          <w:rFonts w:ascii="Arial" w:hAnsi="Arial" w:cs="Arial"/>
          <w:sz w:val="24"/>
          <w:szCs w:val="24"/>
        </w:rPr>
        <w:t>) competencia leal. Además, EUTELSAT deberá garantizar la continuidad de los derechos y obligaciones internacionales derivados de la explotación del sector espacial de EUTELSAT transferido a la “Sociedad EUTELSAT, Sociedad Anónima” en pa</w:t>
      </w:r>
      <w:r w:rsidR="005662A3" w:rsidRPr="008F486E">
        <w:rPr>
          <w:rFonts w:ascii="Arial" w:hAnsi="Arial" w:cs="Arial"/>
          <w:sz w:val="24"/>
          <w:szCs w:val="24"/>
        </w:rPr>
        <w:t>rticular de conformidad con el R</w:t>
      </w:r>
      <w:r w:rsidRPr="008F486E">
        <w:rPr>
          <w:rFonts w:ascii="Arial" w:hAnsi="Arial" w:cs="Arial"/>
          <w:sz w:val="24"/>
          <w:szCs w:val="24"/>
        </w:rPr>
        <w:t>eglamento de Radiocomunicaciones por lo que respecta al uso de frecuencias.</w:t>
      </w:r>
    </w:p>
    <w:p w:rsidR="00F96A93" w:rsidRPr="008F486E" w:rsidRDefault="007744B9" w:rsidP="008F486E">
      <w:pPr>
        <w:spacing w:line="360" w:lineRule="auto"/>
        <w:ind w:firstLine="360"/>
        <w:jc w:val="both"/>
        <w:rPr>
          <w:rFonts w:ascii="Arial" w:hAnsi="Arial" w:cs="Arial"/>
          <w:sz w:val="24"/>
          <w:szCs w:val="24"/>
        </w:rPr>
      </w:pPr>
      <w:r w:rsidRPr="008F486E">
        <w:rPr>
          <w:rFonts w:ascii="Arial" w:hAnsi="Arial" w:cs="Arial"/>
          <w:i/>
          <w:sz w:val="24"/>
          <w:szCs w:val="24"/>
        </w:rPr>
        <w:t>Convenio sobre el</w:t>
      </w:r>
      <w:r w:rsidR="0091514A" w:rsidRPr="008F486E">
        <w:rPr>
          <w:rFonts w:ascii="Arial" w:hAnsi="Arial" w:cs="Arial"/>
          <w:i/>
          <w:sz w:val="24"/>
          <w:szCs w:val="24"/>
        </w:rPr>
        <w:t xml:space="preserve"> </w:t>
      </w:r>
      <w:r w:rsidRPr="008F486E">
        <w:rPr>
          <w:rFonts w:ascii="Arial" w:hAnsi="Arial" w:cs="Arial"/>
          <w:i/>
          <w:sz w:val="24"/>
          <w:szCs w:val="24"/>
        </w:rPr>
        <w:t>E</w:t>
      </w:r>
      <w:r w:rsidR="0091514A" w:rsidRPr="008F486E">
        <w:rPr>
          <w:rFonts w:ascii="Arial" w:hAnsi="Arial" w:cs="Arial"/>
          <w:i/>
          <w:sz w:val="24"/>
          <w:szCs w:val="24"/>
        </w:rPr>
        <w:t>stablecimiento de un</w:t>
      </w:r>
      <w:r w:rsidRPr="008F486E">
        <w:rPr>
          <w:rFonts w:ascii="Arial" w:hAnsi="Arial" w:cs="Arial"/>
          <w:i/>
          <w:sz w:val="24"/>
          <w:szCs w:val="24"/>
        </w:rPr>
        <w:t>a Organización Europea para la Explotación de S</w:t>
      </w:r>
      <w:r w:rsidR="0091514A" w:rsidRPr="008F486E">
        <w:rPr>
          <w:rFonts w:ascii="Arial" w:hAnsi="Arial" w:cs="Arial"/>
          <w:i/>
          <w:sz w:val="24"/>
          <w:szCs w:val="24"/>
        </w:rPr>
        <w:t>atélites Meteorológicos (EUMETSAT), de 24 de mayo de</w:t>
      </w:r>
      <w:r w:rsidR="008D213F" w:rsidRPr="008F486E">
        <w:rPr>
          <w:rFonts w:ascii="Arial" w:hAnsi="Arial" w:cs="Arial"/>
          <w:i/>
          <w:sz w:val="24"/>
          <w:szCs w:val="24"/>
        </w:rPr>
        <w:t xml:space="preserve"> 1983</w:t>
      </w:r>
      <w:r w:rsidR="0063066B" w:rsidRPr="008F486E">
        <w:rPr>
          <w:rStyle w:val="Refdenotaalpie"/>
          <w:rFonts w:ascii="Arial" w:hAnsi="Arial" w:cs="Arial"/>
          <w:i/>
          <w:sz w:val="24"/>
          <w:szCs w:val="24"/>
        </w:rPr>
        <w:footnoteReference w:id="48"/>
      </w:r>
      <w:r w:rsidR="008D213F" w:rsidRPr="008F486E">
        <w:rPr>
          <w:rFonts w:ascii="Arial" w:hAnsi="Arial" w:cs="Arial"/>
          <w:i/>
          <w:sz w:val="24"/>
          <w:szCs w:val="24"/>
        </w:rPr>
        <w:t>, enmendado el 5 de junio de 1991</w:t>
      </w:r>
      <w:r w:rsidR="0063066B" w:rsidRPr="008F486E">
        <w:rPr>
          <w:rStyle w:val="Refdenotaalpie"/>
          <w:rFonts w:ascii="Arial" w:hAnsi="Arial" w:cs="Arial"/>
          <w:i/>
          <w:sz w:val="24"/>
          <w:szCs w:val="24"/>
        </w:rPr>
        <w:footnoteReference w:id="49"/>
      </w:r>
      <w:r w:rsidR="008D213F" w:rsidRPr="008F486E">
        <w:rPr>
          <w:rFonts w:ascii="Arial" w:hAnsi="Arial" w:cs="Arial"/>
          <w:sz w:val="24"/>
          <w:szCs w:val="24"/>
        </w:rPr>
        <w:t>.</w:t>
      </w:r>
      <w:r w:rsidRPr="008F486E">
        <w:rPr>
          <w:rFonts w:ascii="Arial" w:hAnsi="Arial" w:cs="Arial"/>
          <w:sz w:val="24"/>
          <w:szCs w:val="24"/>
        </w:rPr>
        <w:t xml:space="preserve">  EUMETSAT tien</w:t>
      </w:r>
      <w:r w:rsidR="005662A3" w:rsidRPr="008F486E">
        <w:rPr>
          <w:rFonts w:ascii="Arial" w:hAnsi="Arial" w:cs="Arial"/>
          <w:sz w:val="24"/>
          <w:szCs w:val="24"/>
        </w:rPr>
        <w:t>e como principales objetivos : i</w:t>
      </w:r>
      <w:r w:rsidRPr="008F486E">
        <w:rPr>
          <w:rFonts w:ascii="Arial" w:hAnsi="Arial" w:cs="Arial"/>
          <w:sz w:val="24"/>
          <w:szCs w:val="24"/>
        </w:rPr>
        <w:t>) el establecimiento, mantenimiento y explotación de sistemas europeos de satélites</w:t>
      </w:r>
      <w:r w:rsidR="005662A3" w:rsidRPr="008F486E">
        <w:rPr>
          <w:rFonts w:ascii="Arial" w:hAnsi="Arial" w:cs="Arial"/>
          <w:sz w:val="24"/>
          <w:szCs w:val="24"/>
        </w:rPr>
        <w:t xml:space="preserve"> meteorológicos operacionales; ii</w:t>
      </w:r>
      <w:r w:rsidR="00F47C01" w:rsidRPr="008F486E">
        <w:rPr>
          <w:rFonts w:ascii="Arial" w:hAnsi="Arial" w:cs="Arial"/>
          <w:sz w:val="24"/>
          <w:szCs w:val="24"/>
        </w:rPr>
        <w:t xml:space="preserve">) tener en cuenta </w:t>
      </w:r>
      <w:r w:rsidRPr="008F486E">
        <w:rPr>
          <w:rFonts w:ascii="Arial" w:hAnsi="Arial" w:cs="Arial"/>
          <w:sz w:val="24"/>
          <w:szCs w:val="24"/>
        </w:rPr>
        <w:t xml:space="preserve">las Recomendaciones de la </w:t>
      </w:r>
      <w:r w:rsidR="00735CEC" w:rsidRPr="008F486E">
        <w:rPr>
          <w:rFonts w:ascii="Arial" w:hAnsi="Arial" w:cs="Arial"/>
          <w:sz w:val="24"/>
          <w:szCs w:val="24"/>
        </w:rPr>
        <w:t>Organ</w:t>
      </w:r>
      <w:r w:rsidR="001F75C9" w:rsidRPr="008F486E">
        <w:rPr>
          <w:rFonts w:ascii="Arial" w:hAnsi="Arial" w:cs="Arial"/>
          <w:sz w:val="24"/>
          <w:szCs w:val="24"/>
        </w:rPr>
        <w:t>ización M</w:t>
      </w:r>
      <w:r w:rsidR="005662A3" w:rsidRPr="008F486E">
        <w:rPr>
          <w:rFonts w:ascii="Arial" w:hAnsi="Arial" w:cs="Arial"/>
          <w:sz w:val="24"/>
          <w:szCs w:val="24"/>
        </w:rPr>
        <w:t>eteorológica Mundial; iii</w:t>
      </w:r>
      <w:r w:rsidR="00735CEC" w:rsidRPr="008F486E">
        <w:rPr>
          <w:rFonts w:ascii="Arial" w:hAnsi="Arial" w:cs="Arial"/>
          <w:sz w:val="24"/>
          <w:szCs w:val="24"/>
        </w:rPr>
        <w:t xml:space="preserve">) </w:t>
      </w:r>
      <w:r w:rsidR="00735CEC" w:rsidRPr="008F486E">
        <w:rPr>
          <w:rFonts w:ascii="Arial" w:hAnsi="Arial" w:cs="Arial"/>
          <w:sz w:val="24"/>
          <w:szCs w:val="24"/>
        </w:rPr>
        <w:lastRenderedPageBreak/>
        <w:t>contribuir a la observación operacional del clima y la detección de los cambios climáticos a escala planetaria.</w:t>
      </w:r>
    </w:p>
    <w:p w:rsidR="00300036" w:rsidRPr="008F486E" w:rsidRDefault="00735CEC" w:rsidP="008F486E">
      <w:pPr>
        <w:spacing w:line="360" w:lineRule="auto"/>
        <w:ind w:firstLine="360"/>
        <w:jc w:val="both"/>
        <w:rPr>
          <w:rFonts w:ascii="Arial" w:hAnsi="Arial" w:cs="Arial"/>
          <w:sz w:val="24"/>
          <w:szCs w:val="24"/>
        </w:rPr>
      </w:pPr>
      <w:r w:rsidRPr="008F486E">
        <w:rPr>
          <w:rFonts w:ascii="Arial" w:hAnsi="Arial" w:cs="Arial"/>
          <w:i/>
          <w:sz w:val="24"/>
          <w:szCs w:val="24"/>
        </w:rPr>
        <w:t>Convenio de creación de una Agencia Espacial Europea, de 30 de mayo de 1975</w:t>
      </w:r>
      <w:r w:rsidR="00AB1758" w:rsidRPr="008F486E">
        <w:rPr>
          <w:rStyle w:val="Refdenotaalpie"/>
          <w:rFonts w:ascii="Arial" w:hAnsi="Arial" w:cs="Arial"/>
          <w:i/>
          <w:sz w:val="24"/>
          <w:szCs w:val="24"/>
        </w:rPr>
        <w:footnoteReference w:id="50"/>
      </w:r>
      <w:r w:rsidRPr="008F486E">
        <w:rPr>
          <w:rFonts w:ascii="Arial" w:hAnsi="Arial" w:cs="Arial"/>
          <w:sz w:val="24"/>
          <w:szCs w:val="24"/>
        </w:rPr>
        <w:t>. Mediante este Convenio se establece una organizació</w:t>
      </w:r>
      <w:r w:rsidR="00AB1758" w:rsidRPr="008F486E">
        <w:rPr>
          <w:rFonts w:ascii="Arial" w:hAnsi="Arial" w:cs="Arial"/>
          <w:sz w:val="24"/>
          <w:szCs w:val="24"/>
        </w:rPr>
        <w:t>n</w:t>
      </w:r>
      <w:r w:rsidR="00F47C01" w:rsidRPr="008F486E">
        <w:rPr>
          <w:rFonts w:ascii="Arial" w:hAnsi="Arial" w:cs="Arial"/>
          <w:sz w:val="24"/>
          <w:szCs w:val="24"/>
        </w:rPr>
        <w:t xml:space="preserve"> civil</w:t>
      </w:r>
      <w:r w:rsidR="00AB1758" w:rsidRPr="008F486E">
        <w:rPr>
          <w:rFonts w:ascii="Arial" w:hAnsi="Arial" w:cs="Arial"/>
          <w:sz w:val="24"/>
          <w:szCs w:val="24"/>
        </w:rPr>
        <w:t xml:space="preserve"> de países europeos que permite</w:t>
      </w:r>
      <w:r w:rsidRPr="008F486E">
        <w:rPr>
          <w:rFonts w:ascii="Arial" w:hAnsi="Arial" w:cs="Arial"/>
          <w:sz w:val="24"/>
          <w:szCs w:val="24"/>
        </w:rPr>
        <w:t xml:space="preserve"> una mejora</w:t>
      </w:r>
      <w:r w:rsidR="00867165" w:rsidRPr="008F486E">
        <w:rPr>
          <w:rFonts w:ascii="Arial" w:hAnsi="Arial" w:cs="Arial"/>
          <w:sz w:val="24"/>
          <w:szCs w:val="24"/>
        </w:rPr>
        <w:t xml:space="preserve"> en la utilización de servicios espaciales y una cooperación con fines exclusivamente pacíficos, reforzando los campos de la investigación y de la tecnología espaciales y de sus aplicaciones y para sistemas espaciales operacionales de aplicaciones definiendo al mismo tiempo un programa espacial conjunto en el que se pondrá en práctica una política espacial e industrial a largo plazo.</w:t>
      </w:r>
    </w:p>
    <w:p w:rsidR="008901FC" w:rsidRPr="008F486E" w:rsidRDefault="008901FC" w:rsidP="008F486E">
      <w:pPr>
        <w:spacing w:line="360" w:lineRule="auto"/>
        <w:ind w:firstLine="360"/>
        <w:jc w:val="both"/>
        <w:rPr>
          <w:rFonts w:ascii="Arial" w:hAnsi="Arial" w:cs="Arial"/>
          <w:sz w:val="24"/>
          <w:szCs w:val="24"/>
        </w:rPr>
      </w:pPr>
    </w:p>
    <w:p w:rsidR="00602D4F" w:rsidRPr="008F486E" w:rsidRDefault="00735CEC" w:rsidP="008F486E">
      <w:pPr>
        <w:pStyle w:val="Prrafodelista"/>
        <w:numPr>
          <w:ilvl w:val="0"/>
          <w:numId w:val="24"/>
        </w:numPr>
        <w:spacing w:line="360" w:lineRule="auto"/>
        <w:jc w:val="both"/>
        <w:rPr>
          <w:rFonts w:ascii="Arial" w:hAnsi="Arial" w:cs="Arial"/>
          <w:b/>
          <w:i/>
          <w:sz w:val="24"/>
          <w:szCs w:val="24"/>
        </w:rPr>
      </w:pPr>
      <w:r w:rsidRPr="008F486E">
        <w:rPr>
          <w:rFonts w:ascii="Arial" w:hAnsi="Arial" w:cs="Arial"/>
          <w:b/>
          <w:i/>
          <w:sz w:val="24"/>
          <w:szCs w:val="24"/>
        </w:rPr>
        <w:t>Acuerdos bilaterales</w:t>
      </w:r>
    </w:p>
    <w:p w:rsidR="001B6A9A" w:rsidRPr="008F486E" w:rsidRDefault="001B6A9A" w:rsidP="008F486E">
      <w:pPr>
        <w:spacing w:line="360" w:lineRule="auto"/>
        <w:ind w:firstLine="360"/>
        <w:jc w:val="both"/>
        <w:rPr>
          <w:rFonts w:ascii="Arial" w:hAnsi="Arial" w:cs="Arial"/>
          <w:sz w:val="24"/>
          <w:szCs w:val="24"/>
        </w:rPr>
      </w:pPr>
      <w:r w:rsidRPr="008F486E">
        <w:rPr>
          <w:rFonts w:ascii="Arial" w:hAnsi="Arial" w:cs="Arial"/>
          <w:sz w:val="24"/>
          <w:szCs w:val="24"/>
        </w:rPr>
        <w:t>Son muchos los acuerdos de naturaleza bilateral en materia espacial, para no extendernos y como ejemplo de d</w:t>
      </w:r>
      <w:r w:rsidR="00E41A23" w:rsidRPr="008F486E">
        <w:rPr>
          <w:rFonts w:ascii="Arial" w:hAnsi="Arial" w:cs="Arial"/>
          <w:sz w:val="24"/>
          <w:szCs w:val="24"/>
        </w:rPr>
        <w:t>os superpotencias</w:t>
      </w:r>
      <w:r w:rsidR="00B030AA" w:rsidRPr="008F486E">
        <w:rPr>
          <w:rFonts w:ascii="Arial" w:hAnsi="Arial" w:cs="Arial"/>
          <w:sz w:val="24"/>
          <w:szCs w:val="24"/>
        </w:rPr>
        <w:t xml:space="preserve"> que convinieron</w:t>
      </w:r>
      <w:r w:rsidRPr="008F486E">
        <w:rPr>
          <w:rFonts w:ascii="Arial" w:hAnsi="Arial" w:cs="Arial"/>
          <w:sz w:val="24"/>
          <w:szCs w:val="24"/>
        </w:rPr>
        <w:t xml:space="preserve"> ponerse de acuerdo en la exploración y utilización del espacio ultraterrestre con fines pacíficos y que fueron</w:t>
      </w:r>
      <w:r w:rsidR="0058775F" w:rsidRPr="008F486E">
        <w:rPr>
          <w:rFonts w:ascii="Arial" w:hAnsi="Arial" w:cs="Arial"/>
          <w:sz w:val="24"/>
          <w:szCs w:val="24"/>
        </w:rPr>
        <w:t xml:space="preserve"> grandes</w:t>
      </w:r>
      <w:r w:rsidR="00B030AA" w:rsidRPr="008F486E">
        <w:rPr>
          <w:rFonts w:ascii="Arial" w:hAnsi="Arial" w:cs="Arial"/>
          <w:sz w:val="24"/>
          <w:szCs w:val="24"/>
        </w:rPr>
        <w:t xml:space="preserve"> rivales, destacamos</w:t>
      </w:r>
      <w:r w:rsidRPr="008F486E">
        <w:rPr>
          <w:rFonts w:ascii="Arial" w:hAnsi="Arial" w:cs="Arial"/>
          <w:sz w:val="24"/>
          <w:szCs w:val="24"/>
        </w:rPr>
        <w:t>:</w:t>
      </w:r>
    </w:p>
    <w:p w:rsidR="000352B8" w:rsidRPr="008F486E" w:rsidRDefault="001B6A9A" w:rsidP="008F486E">
      <w:pPr>
        <w:spacing w:line="360" w:lineRule="auto"/>
        <w:ind w:firstLine="360"/>
        <w:jc w:val="both"/>
        <w:rPr>
          <w:rFonts w:ascii="Arial" w:hAnsi="Arial" w:cs="Arial"/>
          <w:sz w:val="24"/>
          <w:szCs w:val="24"/>
        </w:rPr>
      </w:pPr>
      <w:r w:rsidRPr="008F486E">
        <w:rPr>
          <w:rFonts w:ascii="Arial" w:hAnsi="Arial" w:cs="Arial"/>
          <w:i/>
          <w:sz w:val="24"/>
          <w:szCs w:val="24"/>
        </w:rPr>
        <w:t>Acuerdo entre los Estados Unidos de América y la Federación de Rusia sobre Cooperación</w:t>
      </w:r>
      <w:r w:rsidR="0058775F" w:rsidRPr="008F486E">
        <w:rPr>
          <w:rFonts w:ascii="Arial" w:hAnsi="Arial" w:cs="Arial"/>
          <w:i/>
          <w:sz w:val="24"/>
          <w:szCs w:val="24"/>
        </w:rPr>
        <w:t xml:space="preserve"> en la Exploración y Utilización del Espacio Ultraterrestre con Fines Pacíficos, de 17 de junio de 1992</w:t>
      </w:r>
      <w:r w:rsidR="0058775F" w:rsidRPr="008F486E">
        <w:rPr>
          <w:rFonts w:ascii="Arial" w:hAnsi="Arial" w:cs="Arial"/>
          <w:sz w:val="24"/>
          <w:szCs w:val="24"/>
        </w:rPr>
        <w:t>. Las Partes a través de sus respectivas Agencias Espaciales (NASA y RSA), se comprometen mediante este Acuerdo a llevar a cabo una cooperaci</w:t>
      </w:r>
      <w:r w:rsidR="00B030AA" w:rsidRPr="008F486E">
        <w:rPr>
          <w:rFonts w:ascii="Arial" w:hAnsi="Arial" w:cs="Arial"/>
          <w:sz w:val="24"/>
          <w:szCs w:val="24"/>
        </w:rPr>
        <w:t>ón espacial en el ámbito civil</w:t>
      </w:r>
      <w:r w:rsidR="00AA46C7" w:rsidRPr="008F486E">
        <w:rPr>
          <w:rFonts w:ascii="Arial" w:hAnsi="Arial" w:cs="Arial"/>
          <w:sz w:val="24"/>
          <w:szCs w:val="24"/>
        </w:rPr>
        <w:t xml:space="preserve"> relativo</w:t>
      </w:r>
      <w:r w:rsidR="0058775F" w:rsidRPr="008F486E">
        <w:rPr>
          <w:rFonts w:ascii="Arial" w:hAnsi="Arial" w:cs="Arial"/>
          <w:sz w:val="24"/>
          <w:szCs w:val="24"/>
        </w:rPr>
        <w:t xml:space="preserve"> a la ciencia, exploración espacial, aplicaciones espaciales y tecnología espacial, sobre las bases de igualdad, reciprocidad y beneficio mutuo. Dicha cooperación puede incluir proyectos de vuelos espaciales humanos y robóticos, operaciones con base en Tierra, experimentos, observación del medioambiente con base en el espacio, estación espacial, medicina y biología espacial y la posibilidad de trabajar conjuntamente en otras áreas como la exploración de Marte.</w:t>
      </w:r>
    </w:p>
    <w:p w:rsidR="009333EC" w:rsidRPr="008F486E" w:rsidRDefault="009333EC" w:rsidP="008F486E">
      <w:pPr>
        <w:spacing w:line="360" w:lineRule="auto"/>
        <w:ind w:firstLine="360"/>
        <w:jc w:val="both"/>
        <w:rPr>
          <w:rFonts w:ascii="Arial" w:hAnsi="Arial" w:cs="Arial"/>
          <w:sz w:val="24"/>
          <w:szCs w:val="24"/>
        </w:rPr>
      </w:pPr>
      <w:r w:rsidRPr="008F486E">
        <w:rPr>
          <w:rFonts w:ascii="Arial" w:hAnsi="Arial" w:cs="Arial"/>
          <w:sz w:val="24"/>
          <w:szCs w:val="24"/>
        </w:rPr>
        <w:t>Respecto a los Acuerdos bilaterales suscritos por España con ambas superpotencias sobre cooperación espacial, señalamos los dos siguientes:</w:t>
      </w:r>
    </w:p>
    <w:p w:rsidR="00647654" w:rsidRPr="008F486E" w:rsidRDefault="001975B5" w:rsidP="008F486E">
      <w:pPr>
        <w:spacing w:line="360" w:lineRule="auto"/>
        <w:ind w:firstLine="360"/>
        <w:jc w:val="both"/>
        <w:rPr>
          <w:rFonts w:ascii="Arial" w:hAnsi="Arial" w:cs="Arial"/>
          <w:sz w:val="24"/>
          <w:szCs w:val="24"/>
        </w:rPr>
      </w:pPr>
      <w:r w:rsidRPr="008F486E">
        <w:rPr>
          <w:rFonts w:ascii="Arial" w:hAnsi="Arial" w:cs="Arial"/>
          <w:i/>
          <w:sz w:val="24"/>
          <w:szCs w:val="24"/>
        </w:rPr>
        <w:lastRenderedPageBreak/>
        <w:t>Convenio de cooperación espacial entre el Reino de España</w:t>
      </w:r>
      <w:r w:rsidR="002F4C41" w:rsidRPr="008F486E">
        <w:rPr>
          <w:rFonts w:ascii="Arial" w:hAnsi="Arial" w:cs="Arial"/>
          <w:i/>
          <w:sz w:val="24"/>
          <w:szCs w:val="24"/>
        </w:rPr>
        <w:t xml:space="preserve"> y los E</w:t>
      </w:r>
      <w:r w:rsidRPr="008F486E">
        <w:rPr>
          <w:rFonts w:ascii="Arial" w:hAnsi="Arial" w:cs="Arial"/>
          <w:i/>
          <w:sz w:val="24"/>
          <w:szCs w:val="24"/>
        </w:rPr>
        <w:t>stados Unidos de América, hecho en Madrid el 11 de julio de 1991</w:t>
      </w:r>
      <w:r w:rsidRPr="008F486E">
        <w:rPr>
          <w:rStyle w:val="Refdenotaalpie"/>
          <w:rFonts w:ascii="Arial" w:hAnsi="Arial" w:cs="Arial"/>
          <w:sz w:val="24"/>
          <w:szCs w:val="24"/>
        </w:rPr>
        <w:footnoteReference w:id="51"/>
      </w:r>
      <w:r w:rsidRPr="008F486E">
        <w:rPr>
          <w:rFonts w:ascii="Arial" w:hAnsi="Arial" w:cs="Arial"/>
          <w:sz w:val="24"/>
          <w:szCs w:val="24"/>
        </w:rPr>
        <w:t>. Mediante este Acuerdo, las Partes se comprometen a realizar esfuerzos conjuntos que refuercen su cooperación en ciencia y tecnología espaciales</w:t>
      </w:r>
      <w:r w:rsidR="0074283B" w:rsidRPr="008F486E">
        <w:rPr>
          <w:rFonts w:ascii="Arial" w:hAnsi="Arial" w:cs="Arial"/>
          <w:sz w:val="24"/>
          <w:szCs w:val="24"/>
        </w:rPr>
        <w:t>, y en particular las ventajas científicas que, para la exploración y utilización del espacio ultraterrestre con fines pacíficos, suponen los vehículos espaciales tripulados conocidos como transbordadores espaciales</w:t>
      </w:r>
      <w:r w:rsidR="002F4C41" w:rsidRPr="008F486E">
        <w:rPr>
          <w:rFonts w:ascii="Arial" w:hAnsi="Arial" w:cs="Arial"/>
          <w:sz w:val="24"/>
          <w:szCs w:val="24"/>
        </w:rPr>
        <w:t>. El Gobierno español reafirma su política, en relación con el armamento y material nuclear, contenida en el canje de Notas de 1 de diciembre de 1988, anejo al Convenio entre España y los Estados Unidos de América sobre cooperación para la defensa. Por su parte, el Gobierno de Estados Unidos, confirma su reiterado compromiso de no colocar en órbita alrededor de la Tierra, en el espacio ultraterrestre ni en los cuerpos celestes, ningún objeto que lleve a bordo cualquier tipo de arma nuclear o de destrucción en masa.</w:t>
      </w:r>
    </w:p>
    <w:p w:rsidR="00300036" w:rsidRPr="008F486E" w:rsidRDefault="00436575" w:rsidP="008F486E">
      <w:pPr>
        <w:spacing w:line="360" w:lineRule="auto"/>
        <w:ind w:firstLine="360"/>
        <w:jc w:val="both"/>
        <w:rPr>
          <w:rFonts w:ascii="Arial" w:hAnsi="Arial" w:cs="Arial"/>
          <w:sz w:val="24"/>
          <w:szCs w:val="24"/>
        </w:rPr>
      </w:pPr>
      <w:r w:rsidRPr="008F486E">
        <w:rPr>
          <w:rFonts w:ascii="Arial" w:hAnsi="Arial" w:cs="Arial"/>
          <w:i/>
          <w:sz w:val="24"/>
          <w:szCs w:val="24"/>
        </w:rPr>
        <w:t>Acuerdo entre el Gobierno del Reino de España</w:t>
      </w:r>
      <w:r w:rsidR="00300036" w:rsidRPr="008F486E">
        <w:rPr>
          <w:rFonts w:ascii="Arial" w:hAnsi="Arial" w:cs="Arial"/>
          <w:i/>
          <w:sz w:val="24"/>
          <w:szCs w:val="24"/>
        </w:rPr>
        <w:t xml:space="preserve"> y el Gobierno de la Federación </w:t>
      </w:r>
      <w:r w:rsidRPr="008F486E">
        <w:rPr>
          <w:rFonts w:ascii="Arial" w:hAnsi="Arial" w:cs="Arial"/>
          <w:i/>
          <w:sz w:val="24"/>
          <w:szCs w:val="24"/>
        </w:rPr>
        <w:t>de Rusia sobre Cooperación en el campo de la exploración y del uso pacífico del espacio ultraterrestre, hecho en Madrid, el 9 de febrero de 2006</w:t>
      </w:r>
      <w:r w:rsidRPr="008F486E">
        <w:rPr>
          <w:rStyle w:val="Refdenotaalpie"/>
          <w:rFonts w:ascii="Arial" w:hAnsi="Arial" w:cs="Arial"/>
          <w:sz w:val="24"/>
          <w:szCs w:val="24"/>
        </w:rPr>
        <w:footnoteReference w:id="52"/>
      </w:r>
      <w:r w:rsidRPr="008F486E">
        <w:rPr>
          <w:rFonts w:ascii="Arial" w:hAnsi="Arial" w:cs="Arial"/>
          <w:sz w:val="24"/>
          <w:szCs w:val="24"/>
        </w:rPr>
        <w:t>. Mediante el presente Acuerdo, las Partes expresan su deseo de garantizar las condiciones políticas, jurídicas y organizativas para el desarrollo global de la cooperación científica, tecnológica, industrial y empresarial de los diferentes ámbitos de la exploración y utilización del espacio ultraterrestre</w:t>
      </w:r>
      <w:r w:rsidR="0016332A" w:rsidRPr="008F486E">
        <w:rPr>
          <w:rFonts w:ascii="Arial" w:hAnsi="Arial" w:cs="Arial"/>
          <w:sz w:val="24"/>
          <w:szCs w:val="24"/>
        </w:rPr>
        <w:t xml:space="preserve"> y de la aplicación de los sistemas y tecnologías espaciales y siempre guiados por el Tratado de amistad y cooperación</w:t>
      </w:r>
      <w:r w:rsidR="00475532" w:rsidRPr="008F486E">
        <w:rPr>
          <w:rFonts w:ascii="Arial" w:hAnsi="Arial" w:cs="Arial"/>
          <w:sz w:val="24"/>
          <w:szCs w:val="24"/>
        </w:rPr>
        <w:t xml:space="preserve"> entre el Reino de España y la F</w:t>
      </w:r>
      <w:r w:rsidR="0016332A" w:rsidRPr="008F486E">
        <w:rPr>
          <w:rFonts w:ascii="Arial" w:hAnsi="Arial" w:cs="Arial"/>
          <w:sz w:val="24"/>
          <w:szCs w:val="24"/>
        </w:rPr>
        <w:t>ederación de Rusia, de 12 de abril de 1994, y el Acuerdo de cooperación cie</w:t>
      </w:r>
      <w:r w:rsidR="00475532" w:rsidRPr="008F486E">
        <w:rPr>
          <w:rFonts w:ascii="Arial" w:hAnsi="Arial" w:cs="Arial"/>
          <w:sz w:val="24"/>
          <w:szCs w:val="24"/>
        </w:rPr>
        <w:t>ntífica y tecnológica entre el R</w:t>
      </w:r>
      <w:r w:rsidR="0016332A" w:rsidRPr="008F486E">
        <w:rPr>
          <w:rFonts w:ascii="Arial" w:hAnsi="Arial" w:cs="Arial"/>
          <w:sz w:val="24"/>
          <w:szCs w:val="24"/>
        </w:rPr>
        <w:t>eino de España y la Federación de Rusia</w:t>
      </w:r>
      <w:r w:rsidR="00475532" w:rsidRPr="008F486E">
        <w:rPr>
          <w:rFonts w:ascii="Arial" w:hAnsi="Arial" w:cs="Arial"/>
          <w:sz w:val="24"/>
          <w:szCs w:val="24"/>
        </w:rPr>
        <w:t>,</w:t>
      </w:r>
      <w:r w:rsidR="0016332A" w:rsidRPr="008F486E">
        <w:rPr>
          <w:rFonts w:ascii="Arial" w:hAnsi="Arial" w:cs="Arial"/>
          <w:sz w:val="24"/>
          <w:szCs w:val="24"/>
        </w:rPr>
        <w:t xml:space="preserve"> de 15 de noviembre de 2001.</w:t>
      </w:r>
    </w:p>
    <w:p w:rsidR="000352B8" w:rsidRPr="008F486E" w:rsidRDefault="000352B8" w:rsidP="008F486E">
      <w:pPr>
        <w:spacing w:line="360" w:lineRule="auto"/>
        <w:jc w:val="both"/>
        <w:rPr>
          <w:rFonts w:ascii="Arial" w:hAnsi="Arial" w:cs="Arial"/>
          <w:sz w:val="24"/>
          <w:szCs w:val="24"/>
        </w:rPr>
      </w:pPr>
    </w:p>
    <w:p w:rsidR="00091CAC" w:rsidRPr="008F486E" w:rsidRDefault="00AD0BAA" w:rsidP="008F486E">
      <w:pPr>
        <w:pStyle w:val="Prrafodelista"/>
        <w:numPr>
          <w:ilvl w:val="0"/>
          <w:numId w:val="24"/>
        </w:numPr>
        <w:spacing w:line="360" w:lineRule="auto"/>
        <w:jc w:val="both"/>
        <w:rPr>
          <w:rFonts w:ascii="Arial" w:hAnsi="Arial" w:cs="Arial"/>
          <w:b/>
          <w:i/>
          <w:sz w:val="24"/>
          <w:szCs w:val="24"/>
        </w:rPr>
      </w:pPr>
      <w:r w:rsidRPr="008F486E">
        <w:rPr>
          <w:rFonts w:ascii="Arial" w:hAnsi="Arial" w:cs="Arial"/>
          <w:b/>
          <w:i/>
          <w:sz w:val="24"/>
          <w:szCs w:val="24"/>
        </w:rPr>
        <w:t>Códigos de Conducta</w:t>
      </w:r>
    </w:p>
    <w:p w:rsidR="000352B8" w:rsidRPr="008F486E" w:rsidRDefault="000352B8" w:rsidP="008F486E">
      <w:pPr>
        <w:spacing w:line="360" w:lineRule="auto"/>
        <w:ind w:firstLine="360"/>
        <w:jc w:val="both"/>
        <w:rPr>
          <w:rFonts w:ascii="Arial" w:hAnsi="Arial" w:cs="Arial"/>
          <w:sz w:val="24"/>
          <w:szCs w:val="24"/>
        </w:rPr>
      </w:pPr>
      <w:r w:rsidRPr="008F486E">
        <w:rPr>
          <w:rFonts w:ascii="Arial" w:hAnsi="Arial" w:cs="Arial"/>
          <w:sz w:val="24"/>
          <w:szCs w:val="24"/>
        </w:rPr>
        <w:lastRenderedPageBreak/>
        <w:t>Los Códigos de Conducta no tienen fuerza jurí</w:t>
      </w:r>
      <w:r w:rsidR="00963FF3" w:rsidRPr="008F486E">
        <w:rPr>
          <w:rFonts w:ascii="Arial" w:hAnsi="Arial" w:cs="Arial"/>
          <w:sz w:val="24"/>
          <w:szCs w:val="24"/>
        </w:rPr>
        <w:t xml:space="preserve">dica </w:t>
      </w:r>
      <w:proofErr w:type="spellStart"/>
      <w:r w:rsidR="00963FF3" w:rsidRPr="008F486E">
        <w:rPr>
          <w:rFonts w:ascii="Arial" w:hAnsi="Arial" w:cs="Arial"/>
          <w:i/>
          <w:sz w:val="24"/>
          <w:szCs w:val="24"/>
        </w:rPr>
        <w:t>eo</w:t>
      </w:r>
      <w:proofErr w:type="spellEnd"/>
      <w:r w:rsidR="00963FF3" w:rsidRPr="008F486E">
        <w:rPr>
          <w:rFonts w:ascii="Arial" w:hAnsi="Arial" w:cs="Arial"/>
          <w:i/>
          <w:sz w:val="24"/>
          <w:szCs w:val="24"/>
        </w:rPr>
        <w:t xml:space="preserve"> ipso</w:t>
      </w:r>
      <w:r w:rsidR="00963FF3" w:rsidRPr="008F486E">
        <w:rPr>
          <w:rFonts w:ascii="Arial" w:hAnsi="Arial" w:cs="Arial"/>
          <w:sz w:val="24"/>
          <w:szCs w:val="24"/>
        </w:rPr>
        <w:t xml:space="preserve">, son considerados </w:t>
      </w:r>
      <w:r w:rsidRPr="008F486E">
        <w:rPr>
          <w:rFonts w:ascii="Arial" w:hAnsi="Arial" w:cs="Arial"/>
          <w:sz w:val="24"/>
          <w:szCs w:val="24"/>
        </w:rPr>
        <w:t xml:space="preserve">como </w:t>
      </w:r>
      <w:proofErr w:type="spellStart"/>
      <w:r w:rsidRPr="008F486E">
        <w:rPr>
          <w:rFonts w:ascii="Arial" w:hAnsi="Arial" w:cs="Arial"/>
          <w:sz w:val="24"/>
          <w:szCs w:val="24"/>
        </w:rPr>
        <w:t>soft</w:t>
      </w:r>
      <w:proofErr w:type="spellEnd"/>
      <w:r w:rsidRPr="008F486E">
        <w:rPr>
          <w:rFonts w:ascii="Arial" w:hAnsi="Arial" w:cs="Arial"/>
          <w:sz w:val="24"/>
          <w:szCs w:val="24"/>
        </w:rPr>
        <w:t xml:space="preserve"> </w:t>
      </w:r>
      <w:proofErr w:type="spellStart"/>
      <w:r w:rsidRPr="008F486E">
        <w:rPr>
          <w:rFonts w:ascii="Arial" w:hAnsi="Arial" w:cs="Arial"/>
          <w:sz w:val="24"/>
          <w:szCs w:val="24"/>
        </w:rPr>
        <w:t>law</w:t>
      </w:r>
      <w:proofErr w:type="spellEnd"/>
      <w:r w:rsidRPr="008F486E">
        <w:rPr>
          <w:rFonts w:ascii="Arial" w:hAnsi="Arial" w:cs="Arial"/>
          <w:sz w:val="24"/>
          <w:szCs w:val="24"/>
        </w:rPr>
        <w:t xml:space="preserve"> y sus disposiciones son de carácter orientativo y pueden ser o no cumplidas a voluntad de los signatarios, salvo que</w:t>
      </w:r>
      <w:r w:rsidR="00E42E71" w:rsidRPr="008F486E">
        <w:rPr>
          <w:rFonts w:ascii="Arial" w:hAnsi="Arial" w:cs="Arial"/>
          <w:sz w:val="24"/>
          <w:szCs w:val="24"/>
        </w:rPr>
        <w:t xml:space="preserve"> figuren en alguna </w:t>
      </w:r>
      <w:proofErr w:type="spellStart"/>
      <w:r w:rsidR="00E42E71" w:rsidRPr="008F486E">
        <w:rPr>
          <w:rFonts w:ascii="Arial" w:hAnsi="Arial" w:cs="Arial"/>
          <w:sz w:val="24"/>
          <w:szCs w:val="24"/>
        </w:rPr>
        <w:t>clausula</w:t>
      </w:r>
      <w:proofErr w:type="spellEnd"/>
      <w:r w:rsidR="00E42E71" w:rsidRPr="008F486E">
        <w:rPr>
          <w:rFonts w:ascii="Arial" w:hAnsi="Arial" w:cs="Arial"/>
          <w:sz w:val="24"/>
          <w:szCs w:val="24"/>
        </w:rPr>
        <w:t xml:space="preserve"> contractual, </w:t>
      </w:r>
      <w:r w:rsidRPr="008F486E">
        <w:rPr>
          <w:rFonts w:ascii="Arial" w:hAnsi="Arial" w:cs="Arial"/>
          <w:sz w:val="24"/>
          <w:szCs w:val="24"/>
        </w:rPr>
        <w:t>en cuyo caso</w:t>
      </w:r>
      <w:r w:rsidR="00E42E71" w:rsidRPr="008F486E">
        <w:rPr>
          <w:rFonts w:ascii="Arial" w:hAnsi="Arial" w:cs="Arial"/>
          <w:sz w:val="24"/>
          <w:szCs w:val="24"/>
        </w:rPr>
        <w:t>,</w:t>
      </w:r>
      <w:r w:rsidRPr="008F486E">
        <w:rPr>
          <w:rFonts w:ascii="Arial" w:hAnsi="Arial" w:cs="Arial"/>
          <w:sz w:val="24"/>
          <w:szCs w:val="24"/>
        </w:rPr>
        <w:t xml:space="preserve"> son </w:t>
      </w:r>
      <w:r w:rsidR="00ED6F0F" w:rsidRPr="008F486E">
        <w:rPr>
          <w:rFonts w:ascii="Arial" w:hAnsi="Arial" w:cs="Arial"/>
          <w:sz w:val="24"/>
          <w:szCs w:val="24"/>
        </w:rPr>
        <w:t xml:space="preserve">vinculantes. El </w:t>
      </w:r>
      <w:r w:rsidRPr="008F486E">
        <w:rPr>
          <w:rFonts w:ascii="Arial" w:hAnsi="Arial" w:cs="Arial"/>
          <w:sz w:val="24"/>
          <w:szCs w:val="24"/>
        </w:rPr>
        <w:t>Código de Conducta de la</w:t>
      </w:r>
      <w:r w:rsidR="009A0783" w:rsidRPr="008F486E">
        <w:rPr>
          <w:rFonts w:ascii="Arial" w:hAnsi="Arial" w:cs="Arial"/>
          <w:sz w:val="24"/>
          <w:szCs w:val="24"/>
        </w:rPr>
        <w:t>s Tripulaciones de la Estación E</w:t>
      </w:r>
      <w:r w:rsidRPr="008F486E">
        <w:rPr>
          <w:rFonts w:ascii="Arial" w:hAnsi="Arial" w:cs="Arial"/>
          <w:sz w:val="24"/>
          <w:szCs w:val="24"/>
        </w:rPr>
        <w:t>spacial Internacional</w:t>
      </w:r>
      <w:r w:rsidR="009A0783" w:rsidRPr="008F486E">
        <w:rPr>
          <w:rFonts w:ascii="Arial" w:hAnsi="Arial" w:cs="Arial"/>
          <w:sz w:val="24"/>
          <w:szCs w:val="24"/>
        </w:rPr>
        <w:t xml:space="preserve"> es de obligado cumplimiento.</w:t>
      </w:r>
    </w:p>
    <w:p w:rsidR="00436575" w:rsidRPr="008F486E" w:rsidRDefault="0099571E" w:rsidP="008F486E">
      <w:pPr>
        <w:spacing w:line="360" w:lineRule="auto"/>
        <w:ind w:firstLine="360"/>
        <w:jc w:val="both"/>
        <w:rPr>
          <w:rFonts w:ascii="Arial" w:hAnsi="Arial" w:cs="Arial"/>
          <w:i/>
          <w:sz w:val="24"/>
          <w:szCs w:val="24"/>
          <w:u w:val="single"/>
        </w:rPr>
      </w:pPr>
      <w:r w:rsidRPr="008F486E">
        <w:rPr>
          <w:rFonts w:ascii="Arial" w:hAnsi="Arial" w:cs="Arial"/>
          <w:i/>
          <w:sz w:val="24"/>
          <w:szCs w:val="24"/>
        </w:rPr>
        <w:t>Código de Conducta para las tripulaciones de la Estación Espacial Internacional, de 2000</w:t>
      </w:r>
      <w:r w:rsidR="00344EE3" w:rsidRPr="008F486E">
        <w:rPr>
          <w:rStyle w:val="Refdenotaalpie"/>
          <w:rFonts w:ascii="Arial" w:hAnsi="Arial" w:cs="Arial"/>
          <w:i/>
          <w:sz w:val="24"/>
          <w:szCs w:val="24"/>
        </w:rPr>
        <w:footnoteReference w:id="53"/>
      </w:r>
      <w:r w:rsidRPr="008F486E">
        <w:rPr>
          <w:rFonts w:ascii="Arial" w:hAnsi="Arial" w:cs="Arial"/>
          <w:i/>
          <w:sz w:val="24"/>
          <w:szCs w:val="24"/>
        </w:rPr>
        <w:t xml:space="preserve">. </w:t>
      </w:r>
      <w:r w:rsidRPr="008F486E">
        <w:rPr>
          <w:rFonts w:ascii="Arial" w:hAnsi="Arial" w:cs="Arial"/>
          <w:sz w:val="24"/>
          <w:szCs w:val="24"/>
        </w:rPr>
        <w:t xml:space="preserve">Este Código precisa la cadena de mando en órbita, las relaciones entre los responsables en Tierra y en órbita, así como la jerarquía de la gestión : definir las normas aplicables a los trabajos o a las actividades en el espacio y en la Tierra, definir las responsabilidades en materia de elementos y equipos, enunciar reglamentos disciplinarios, definir las directivas en materia de seguridad y de protección a la información, procedimientos de salvamento y nombramiento del Comandante de la estación espacial. Las disposiciones del Código de Conducta se aplican a los miembros de la tripulación desde que se les asigna una determinada expedición u oportunidad de vuelo hasta que se completen las actividades de post-vuelo. Como Apéndice al Código de Conducta se añadió la Política Disciplinaria que se aplicará cuando un miembro de la tripulación vulnere el Código de Conducta. Las sanciones enumeradas en la política </w:t>
      </w:r>
      <w:r w:rsidR="00F116AC" w:rsidRPr="008F486E">
        <w:rPr>
          <w:rFonts w:ascii="Arial" w:hAnsi="Arial" w:cs="Arial"/>
          <w:sz w:val="24"/>
          <w:szCs w:val="24"/>
        </w:rPr>
        <w:t>disciplinaria comprenden</w:t>
      </w:r>
      <w:r w:rsidRPr="008F486E">
        <w:rPr>
          <w:rFonts w:ascii="Arial" w:hAnsi="Arial" w:cs="Arial"/>
          <w:sz w:val="24"/>
          <w:szCs w:val="24"/>
        </w:rPr>
        <w:t>: la amonestación verbal o escrita, penas pecuniarias, destitución como miembro de la tripulación y privación de libertad.</w:t>
      </w:r>
      <w:r w:rsidR="00E42E71" w:rsidRPr="008F486E">
        <w:rPr>
          <w:rFonts w:ascii="Arial" w:hAnsi="Arial" w:cs="Arial"/>
          <w:sz w:val="24"/>
          <w:szCs w:val="24"/>
        </w:rPr>
        <w:t xml:space="preserve"> Este Régimen Disciplinario no </w:t>
      </w:r>
      <w:r w:rsidRPr="008F486E">
        <w:rPr>
          <w:rFonts w:ascii="Arial" w:hAnsi="Arial" w:cs="Arial"/>
          <w:sz w:val="24"/>
          <w:szCs w:val="24"/>
        </w:rPr>
        <w:t>limita el derecho de una Agencia espacial cooperante a aplicar su normativa para sancionar al presunto infractor o miembro de la tripulación</w:t>
      </w:r>
      <w:r w:rsidR="00E42E71" w:rsidRPr="008F486E">
        <w:rPr>
          <w:rFonts w:ascii="Arial" w:hAnsi="Arial" w:cs="Arial"/>
          <w:sz w:val="24"/>
          <w:szCs w:val="24"/>
        </w:rPr>
        <w:t xml:space="preserve"> que haya proporcionado. L</w:t>
      </w:r>
      <w:r w:rsidR="00F116AC" w:rsidRPr="008F486E">
        <w:rPr>
          <w:rFonts w:ascii="Arial" w:hAnsi="Arial" w:cs="Arial"/>
          <w:sz w:val="24"/>
          <w:szCs w:val="24"/>
        </w:rPr>
        <w:t>a finalidad del Código de Conducta no es la de restringir la jurisdicción</w:t>
      </w:r>
      <w:r w:rsidR="00647654" w:rsidRPr="008F486E">
        <w:rPr>
          <w:rFonts w:ascii="Arial" w:hAnsi="Arial" w:cs="Arial"/>
          <w:sz w:val="24"/>
          <w:szCs w:val="24"/>
        </w:rPr>
        <w:t xml:space="preserve"> penal de los Estados Asociados</w:t>
      </w:r>
      <w:r w:rsidR="00F116AC" w:rsidRPr="008F486E">
        <w:rPr>
          <w:rFonts w:ascii="Arial" w:hAnsi="Arial" w:cs="Arial"/>
          <w:sz w:val="24"/>
          <w:szCs w:val="24"/>
        </w:rPr>
        <w:t>,</w:t>
      </w:r>
      <w:r w:rsidR="00647654" w:rsidRPr="008F486E">
        <w:rPr>
          <w:rFonts w:ascii="Arial" w:hAnsi="Arial" w:cs="Arial"/>
          <w:sz w:val="24"/>
          <w:szCs w:val="24"/>
        </w:rPr>
        <w:t xml:space="preserve"> </w:t>
      </w:r>
      <w:r w:rsidR="00F116AC" w:rsidRPr="008F486E">
        <w:rPr>
          <w:rFonts w:ascii="Arial" w:hAnsi="Arial" w:cs="Arial"/>
          <w:sz w:val="24"/>
          <w:szCs w:val="24"/>
        </w:rPr>
        <w:t>establecida en el artículo 22 del Acuerdo Intergubernamental de 1998</w:t>
      </w:r>
      <w:r w:rsidR="00ED6F0F" w:rsidRPr="008F486E">
        <w:rPr>
          <w:rFonts w:ascii="Arial" w:hAnsi="Arial" w:cs="Arial"/>
          <w:sz w:val="24"/>
          <w:szCs w:val="24"/>
        </w:rPr>
        <w:t xml:space="preserve"> relativo a la Estación Espacial Internacional.</w:t>
      </w:r>
    </w:p>
    <w:p w:rsidR="00716944" w:rsidRPr="008F486E" w:rsidRDefault="00C14BCC" w:rsidP="008F486E">
      <w:pPr>
        <w:spacing w:line="360" w:lineRule="auto"/>
        <w:ind w:firstLine="360"/>
        <w:jc w:val="both"/>
        <w:rPr>
          <w:rFonts w:ascii="Arial" w:hAnsi="Arial" w:cs="Arial"/>
          <w:i/>
          <w:sz w:val="24"/>
          <w:szCs w:val="24"/>
          <w:u w:val="single"/>
        </w:rPr>
      </w:pPr>
      <w:r w:rsidRPr="008F486E">
        <w:rPr>
          <w:rFonts w:ascii="Arial" w:hAnsi="Arial" w:cs="Arial"/>
          <w:i/>
          <w:sz w:val="24"/>
          <w:szCs w:val="24"/>
        </w:rPr>
        <w:t>Códig</w:t>
      </w:r>
      <w:r w:rsidR="00DD61B8" w:rsidRPr="008F486E">
        <w:rPr>
          <w:rFonts w:ascii="Arial" w:hAnsi="Arial" w:cs="Arial"/>
          <w:i/>
          <w:sz w:val="24"/>
          <w:szCs w:val="24"/>
        </w:rPr>
        <w:t>o de conducta europeo para la mitigación de los desechos e</w:t>
      </w:r>
      <w:r w:rsidRPr="008F486E">
        <w:rPr>
          <w:rFonts w:ascii="Arial" w:hAnsi="Arial" w:cs="Arial"/>
          <w:i/>
          <w:sz w:val="24"/>
          <w:szCs w:val="24"/>
        </w:rPr>
        <w:t>spaciales, de 28 de junio de 2004</w:t>
      </w:r>
      <w:r w:rsidR="00726CCC" w:rsidRPr="008F486E">
        <w:rPr>
          <w:rStyle w:val="Refdenotaalpie"/>
          <w:rFonts w:ascii="Arial" w:hAnsi="Arial" w:cs="Arial"/>
          <w:i/>
          <w:sz w:val="24"/>
          <w:szCs w:val="24"/>
        </w:rPr>
        <w:footnoteReference w:id="54"/>
      </w:r>
      <w:r w:rsidRPr="008F486E">
        <w:rPr>
          <w:rFonts w:ascii="Arial" w:hAnsi="Arial" w:cs="Arial"/>
          <w:i/>
          <w:sz w:val="24"/>
          <w:szCs w:val="24"/>
        </w:rPr>
        <w:t>.</w:t>
      </w:r>
      <w:r w:rsidRPr="008F486E">
        <w:rPr>
          <w:rFonts w:ascii="Arial" w:hAnsi="Arial" w:cs="Arial"/>
          <w:sz w:val="24"/>
          <w:szCs w:val="24"/>
        </w:rPr>
        <w:t xml:space="preserve"> Los Estados que</w:t>
      </w:r>
      <w:r w:rsidR="00B030AA" w:rsidRPr="008F486E">
        <w:rPr>
          <w:rFonts w:ascii="Arial" w:hAnsi="Arial" w:cs="Arial"/>
          <w:sz w:val="24"/>
          <w:szCs w:val="24"/>
        </w:rPr>
        <w:t xml:space="preserve"> llevan a</w:t>
      </w:r>
      <w:r w:rsidR="0015641B" w:rsidRPr="008F486E">
        <w:rPr>
          <w:rFonts w:ascii="Arial" w:hAnsi="Arial" w:cs="Arial"/>
          <w:sz w:val="24"/>
          <w:szCs w:val="24"/>
        </w:rPr>
        <w:t xml:space="preserve"> </w:t>
      </w:r>
      <w:r w:rsidR="00B030AA" w:rsidRPr="008F486E">
        <w:rPr>
          <w:rFonts w:ascii="Arial" w:hAnsi="Arial" w:cs="Arial"/>
          <w:sz w:val="24"/>
          <w:szCs w:val="24"/>
        </w:rPr>
        <w:t>cabo actividades en el</w:t>
      </w:r>
      <w:r w:rsidRPr="008F486E">
        <w:rPr>
          <w:rFonts w:ascii="Arial" w:hAnsi="Arial" w:cs="Arial"/>
          <w:sz w:val="24"/>
          <w:szCs w:val="24"/>
        </w:rPr>
        <w:t xml:space="preserve"> </w:t>
      </w:r>
      <w:r w:rsidR="00B030AA" w:rsidRPr="008F486E">
        <w:rPr>
          <w:rFonts w:ascii="Arial" w:hAnsi="Arial" w:cs="Arial"/>
          <w:sz w:val="24"/>
          <w:szCs w:val="24"/>
        </w:rPr>
        <w:lastRenderedPageBreak/>
        <w:t>e</w:t>
      </w:r>
      <w:r w:rsidRPr="008F486E">
        <w:rPr>
          <w:rFonts w:ascii="Arial" w:hAnsi="Arial" w:cs="Arial"/>
          <w:sz w:val="24"/>
          <w:szCs w:val="24"/>
        </w:rPr>
        <w:t>spacio ultra</w:t>
      </w:r>
      <w:r w:rsidR="004F5CBE" w:rsidRPr="008F486E">
        <w:rPr>
          <w:rFonts w:ascii="Arial" w:hAnsi="Arial" w:cs="Arial"/>
          <w:sz w:val="24"/>
          <w:szCs w:val="24"/>
        </w:rPr>
        <w:t>terrestre coinciden en definir d</w:t>
      </w:r>
      <w:r w:rsidRPr="008F486E">
        <w:rPr>
          <w:rFonts w:ascii="Arial" w:hAnsi="Arial" w:cs="Arial"/>
          <w:sz w:val="24"/>
          <w:szCs w:val="24"/>
        </w:rPr>
        <w:t>esechos o residuos espaciales (</w:t>
      </w:r>
      <w:proofErr w:type="spellStart"/>
      <w:r w:rsidRPr="008F486E">
        <w:rPr>
          <w:rFonts w:ascii="Arial" w:hAnsi="Arial" w:cs="Arial"/>
          <w:i/>
          <w:sz w:val="24"/>
          <w:szCs w:val="24"/>
        </w:rPr>
        <w:t>Debris</w:t>
      </w:r>
      <w:proofErr w:type="spellEnd"/>
      <w:r w:rsidRPr="008F486E">
        <w:rPr>
          <w:rFonts w:ascii="Arial" w:hAnsi="Arial" w:cs="Arial"/>
          <w:sz w:val="24"/>
          <w:szCs w:val="24"/>
        </w:rPr>
        <w:t xml:space="preserve">) como todos los objetos artificiales, incluidos sus fragmentos y los elementos de esos fragmentos, que están en órbita terrestre o que reingresan a la atmósfera y no son funcionales. Esta definición viene recogida en las </w:t>
      </w:r>
      <w:r w:rsidR="00B030AA" w:rsidRPr="008F486E">
        <w:rPr>
          <w:rFonts w:ascii="Arial" w:hAnsi="Arial" w:cs="Arial"/>
          <w:sz w:val="24"/>
          <w:szCs w:val="24"/>
        </w:rPr>
        <w:t>“</w:t>
      </w:r>
      <w:r w:rsidR="00DD61B8" w:rsidRPr="008F486E">
        <w:rPr>
          <w:rFonts w:ascii="Arial" w:hAnsi="Arial" w:cs="Arial"/>
          <w:sz w:val="24"/>
          <w:szCs w:val="24"/>
        </w:rPr>
        <w:t>Directrices de 2002 sobre m</w:t>
      </w:r>
      <w:r w:rsidRPr="008F486E">
        <w:rPr>
          <w:rFonts w:ascii="Arial" w:hAnsi="Arial" w:cs="Arial"/>
          <w:sz w:val="24"/>
          <w:szCs w:val="24"/>
        </w:rPr>
        <w:t>itigac</w:t>
      </w:r>
      <w:r w:rsidR="00DD61B8" w:rsidRPr="008F486E">
        <w:rPr>
          <w:rFonts w:ascii="Arial" w:hAnsi="Arial" w:cs="Arial"/>
          <w:sz w:val="24"/>
          <w:szCs w:val="24"/>
        </w:rPr>
        <w:t>ión de desechos e</w:t>
      </w:r>
      <w:r w:rsidRPr="008F486E">
        <w:rPr>
          <w:rFonts w:ascii="Arial" w:hAnsi="Arial" w:cs="Arial"/>
          <w:sz w:val="24"/>
          <w:szCs w:val="24"/>
        </w:rPr>
        <w:t>spaciales</w:t>
      </w:r>
      <w:r w:rsidR="00B030AA" w:rsidRPr="008F486E">
        <w:rPr>
          <w:rFonts w:ascii="Arial" w:hAnsi="Arial" w:cs="Arial"/>
          <w:sz w:val="24"/>
          <w:szCs w:val="24"/>
        </w:rPr>
        <w:t>”</w:t>
      </w:r>
      <w:r w:rsidRPr="008F486E">
        <w:rPr>
          <w:rFonts w:ascii="Arial" w:hAnsi="Arial" w:cs="Arial"/>
          <w:sz w:val="24"/>
          <w:szCs w:val="24"/>
        </w:rPr>
        <w:t xml:space="preserve"> del </w:t>
      </w:r>
      <w:r w:rsidR="00DD61B8" w:rsidRPr="008F486E">
        <w:rPr>
          <w:rFonts w:ascii="Arial" w:hAnsi="Arial" w:cs="Arial"/>
          <w:sz w:val="24"/>
          <w:szCs w:val="24"/>
        </w:rPr>
        <w:t>IADC (Comité inter-agencias de coordinación para los residuos e</w:t>
      </w:r>
      <w:r w:rsidRPr="008F486E">
        <w:rPr>
          <w:rFonts w:ascii="Arial" w:hAnsi="Arial" w:cs="Arial"/>
          <w:sz w:val="24"/>
          <w:szCs w:val="24"/>
        </w:rPr>
        <w:t xml:space="preserve">spaciales), en las </w:t>
      </w:r>
      <w:r w:rsidR="00B030AA" w:rsidRPr="008F486E">
        <w:rPr>
          <w:rFonts w:ascii="Arial" w:hAnsi="Arial" w:cs="Arial"/>
          <w:sz w:val="24"/>
          <w:szCs w:val="24"/>
        </w:rPr>
        <w:t>“</w:t>
      </w:r>
      <w:r w:rsidR="00DD61B8" w:rsidRPr="008F486E">
        <w:rPr>
          <w:rFonts w:ascii="Arial" w:hAnsi="Arial" w:cs="Arial"/>
          <w:sz w:val="24"/>
          <w:szCs w:val="24"/>
        </w:rPr>
        <w:t>Directrices de 2007 para la reducción de d</w:t>
      </w:r>
      <w:r w:rsidRPr="008F486E">
        <w:rPr>
          <w:rFonts w:ascii="Arial" w:hAnsi="Arial" w:cs="Arial"/>
          <w:sz w:val="24"/>
          <w:szCs w:val="24"/>
        </w:rPr>
        <w:t>esechos espaciales</w:t>
      </w:r>
      <w:r w:rsidR="00B030AA" w:rsidRPr="008F486E">
        <w:rPr>
          <w:rFonts w:ascii="Arial" w:hAnsi="Arial" w:cs="Arial"/>
          <w:sz w:val="24"/>
          <w:szCs w:val="24"/>
        </w:rPr>
        <w:t>”</w:t>
      </w:r>
      <w:r w:rsidRPr="008F486E">
        <w:rPr>
          <w:rFonts w:ascii="Arial" w:hAnsi="Arial" w:cs="Arial"/>
          <w:sz w:val="24"/>
          <w:szCs w:val="24"/>
        </w:rPr>
        <w:t xml:space="preserve"> de COPUOS y en el </w:t>
      </w:r>
      <w:r w:rsidR="00B030AA" w:rsidRPr="008F486E">
        <w:rPr>
          <w:rFonts w:ascii="Arial" w:hAnsi="Arial" w:cs="Arial"/>
          <w:sz w:val="24"/>
          <w:szCs w:val="24"/>
        </w:rPr>
        <w:t>“</w:t>
      </w:r>
      <w:r w:rsidR="00DD61B8" w:rsidRPr="008F486E">
        <w:rPr>
          <w:rFonts w:ascii="Arial" w:hAnsi="Arial" w:cs="Arial"/>
          <w:sz w:val="24"/>
          <w:szCs w:val="24"/>
        </w:rPr>
        <w:t>Código de conducta europeo para la mitigación de desechos e</w:t>
      </w:r>
      <w:r w:rsidRPr="008F486E">
        <w:rPr>
          <w:rFonts w:ascii="Arial" w:hAnsi="Arial" w:cs="Arial"/>
          <w:sz w:val="24"/>
          <w:szCs w:val="24"/>
        </w:rPr>
        <w:t>spaciales</w:t>
      </w:r>
      <w:r w:rsidR="00B030AA" w:rsidRPr="008F486E">
        <w:rPr>
          <w:rFonts w:ascii="Arial" w:hAnsi="Arial" w:cs="Arial"/>
          <w:sz w:val="24"/>
          <w:szCs w:val="24"/>
        </w:rPr>
        <w:t>”</w:t>
      </w:r>
      <w:r w:rsidRPr="008F486E">
        <w:rPr>
          <w:rFonts w:ascii="Arial" w:hAnsi="Arial" w:cs="Arial"/>
          <w:sz w:val="24"/>
          <w:szCs w:val="24"/>
        </w:rPr>
        <w:t xml:space="preserve">. Este Código, elaborado por la Unión </w:t>
      </w:r>
      <w:r w:rsidR="00B030AA" w:rsidRPr="008F486E">
        <w:rPr>
          <w:rFonts w:ascii="Arial" w:hAnsi="Arial" w:cs="Arial"/>
          <w:sz w:val="24"/>
          <w:szCs w:val="24"/>
        </w:rPr>
        <w:t>Europea, presenta unas directric</w:t>
      </w:r>
      <w:r w:rsidRPr="008F486E">
        <w:rPr>
          <w:rFonts w:ascii="Arial" w:hAnsi="Arial" w:cs="Arial"/>
          <w:sz w:val="24"/>
          <w:szCs w:val="24"/>
        </w:rPr>
        <w:t>es que son compatibles con las del IADC, pero de naturaleza más amplia y aplicable a la Agencia Espacial Europea, a las agencias espaciales nacionales europeas y a contratistas o incluso por una entidad europea que actúe fuera de Europa incluyendo a los operadores. El Código de Conducta Europeo contiene disposiciones a las que se les puede otorgar un efecto vinculante mediante instrumentos</w:t>
      </w:r>
      <w:r w:rsidR="009B3ECB" w:rsidRPr="008F486E">
        <w:rPr>
          <w:rFonts w:ascii="Arial" w:hAnsi="Arial" w:cs="Arial"/>
          <w:sz w:val="24"/>
          <w:szCs w:val="24"/>
        </w:rPr>
        <w:t xml:space="preserve"> jurídicos suscritos entre las partes contratantes.</w:t>
      </w:r>
    </w:p>
    <w:p w:rsidR="000352B8" w:rsidRPr="008F486E" w:rsidRDefault="00716944" w:rsidP="008F486E">
      <w:pPr>
        <w:spacing w:line="360" w:lineRule="auto"/>
        <w:ind w:firstLine="360"/>
        <w:jc w:val="both"/>
        <w:rPr>
          <w:rFonts w:ascii="Arial" w:hAnsi="Arial" w:cs="Arial"/>
          <w:i/>
          <w:sz w:val="24"/>
          <w:szCs w:val="24"/>
          <w:u w:val="single"/>
        </w:rPr>
      </w:pPr>
      <w:r w:rsidRPr="008F486E">
        <w:rPr>
          <w:rFonts w:ascii="Arial" w:hAnsi="Arial" w:cs="Arial"/>
          <w:i/>
          <w:sz w:val="24"/>
          <w:szCs w:val="24"/>
        </w:rPr>
        <w:t>Propuesta de Código Internacional de Conducta para las actividades espaciales</w:t>
      </w:r>
      <w:r w:rsidRPr="008F486E">
        <w:rPr>
          <w:rStyle w:val="Refdenotaalpie"/>
          <w:rFonts w:ascii="Arial" w:hAnsi="Arial" w:cs="Arial"/>
          <w:i/>
          <w:sz w:val="24"/>
          <w:szCs w:val="24"/>
        </w:rPr>
        <w:footnoteReference w:id="55"/>
      </w:r>
      <w:r w:rsidRPr="008F486E">
        <w:rPr>
          <w:rFonts w:ascii="Arial" w:hAnsi="Arial" w:cs="Arial"/>
          <w:i/>
          <w:sz w:val="24"/>
          <w:szCs w:val="24"/>
        </w:rPr>
        <w:t xml:space="preserve">. </w:t>
      </w:r>
      <w:r w:rsidRPr="008F486E">
        <w:rPr>
          <w:rFonts w:ascii="Arial" w:hAnsi="Arial" w:cs="Arial"/>
          <w:sz w:val="24"/>
          <w:szCs w:val="24"/>
        </w:rPr>
        <w:t>Esta propuesta fue elaborada por la Unión Europea y revisada en varias ocasiones hasta su última versión de 31 de marzo de 2014</w:t>
      </w:r>
      <w:r w:rsidR="00B015D7" w:rsidRPr="008F486E">
        <w:rPr>
          <w:rStyle w:val="Refdenotaalpie"/>
          <w:rFonts w:ascii="Arial" w:hAnsi="Arial" w:cs="Arial"/>
          <w:sz w:val="24"/>
          <w:szCs w:val="24"/>
        </w:rPr>
        <w:footnoteReference w:id="56"/>
      </w:r>
      <w:r w:rsidRPr="008F486E">
        <w:rPr>
          <w:rFonts w:ascii="Arial" w:hAnsi="Arial" w:cs="Arial"/>
          <w:sz w:val="24"/>
          <w:szCs w:val="24"/>
        </w:rPr>
        <w:t xml:space="preserve">. </w:t>
      </w:r>
      <w:r w:rsidR="008453A2" w:rsidRPr="008F486E">
        <w:rPr>
          <w:rFonts w:ascii="Arial" w:hAnsi="Arial" w:cs="Arial"/>
          <w:sz w:val="24"/>
          <w:szCs w:val="24"/>
        </w:rPr>
        <w:t>El objetivo del presente Código es conseguir que las actividades espaciales sigan jugando un factor determinante en el desarrollo social, económico, científico y tecnológico de todas las naciones para salvaguardar el uso pacífico sostenible del espacio ultraterrestre para las generaciones actuales y venide</w:t>
      </w:r>
      <w:r w:rsidR="002D1828" w:rsidRPr="008F486E">
        <w:rPr>
          <w:rFonts w:ascii="Arial" w:hAnsi="Arial" w:cs="Arial"/>
          <w:sz w:val="24"/>
          <w:szCs w:val="24"/>
        </w:rPr>
        <w:t>ras en el marco de</w:t>
      </w:r>
      <w:r w:rsidR="008453A2" w:rsidRPr="008F486E">
        <w:rPr>
          <w:rFonts w:ascii="Arial" w:hAnsi="Arial" w:cs="Arial"/>
          <w:sz w:val="24"/>
          <w:szCs w:val="24"/>
        </w:rPr>
        <w:t xml:space="preserve"> la paz y seguridad internacionales. </w:t>
      </w:r>
      <w:r w:rsidR="002D1828" w:rsidRPr="008F486E">
        <w:rPr>
          <w:rFonts w:ascii="Arial" w:hAnsi="Arial" w:cs="Arial"/>
          <w:sz w:val="24"/>
          <w:szCs w:val="24"/>
        </w:rPr>
        <w:t xml:space="preserve">Por tanto, el Código Internacional de Conducta está abierto a todos los Estados de la Comunidad Internacional que quieran suscribirlo, así como aquellas organizaciones internacionales intergubernamentales y organizaciones regionales que estén de acuerdo con </w:t>
      </w:r>
      <w:r w:rsidR="002D1828" w:rsidRPr="008F486E">
        <w:rPr>
          <w:rFonts w:ascii="Arial" w:hAnsi="Arial" w:cs="Arial"/>
          <w:sz w:val="24"/>
          <w:szCs w:val="24"/>
        </w:rPr>
        <w:lastRenderedPageBreak/>
        <w:t>sus disposiciones, teniendo en cuenta que estas últimas n</w:t>
      </w:r>
      <w:r w:rsidR="002D56D9" w:rsidRPr="008F486E">
        <w:rPr>
          <w:rFonts w:ascii="Arial" w:hAnsi="Arial" w:cs="Arial"/>
          <w:sz w:val="24"/>
          <w:szCs w:val="24"/>
        </w:rPr>
        <w:t>o son jurídicamente vinculantes</w:t>
      </w:r>
      <w:r w:rsidR="005305A9" w:rsidRPr="008F486E">
        <w:rPr>
          <w:rStyle w:val="Refdenotaalpie"/>
          <w:rFonts w:ascii="Arial" w:hAnsi="Arial" w:cs="Arial"/>
          <w:sz w:val="24"/>
          <w:szCs w:val="24"/>
        </w:rPr>
        <w:footnoteReference w:id="57"/>
      </w:r>
      <w:r w:rsidR="00E42E71" w:rsidRPr="008F486E">
        <w:rPr>
          <w:rFonts w:ascii="Arial" w:hAnsi="Arial" w:cs="Arial"/>
          <w:sz w:val="24"/>
          <w:szCs w:val="24"/>
        </w:rPr>
        <w:t xml:space="preserve"> . La Propuesta de Código Internacional de Conducta establece una serie de </w:t>
      </w:r>
      <w:r w:rsidR="00C35899" w:rsidRPr="008F486E">
        <w:rPr>
          <w:rFonts w:ascii="Arial" w:hAnsi="Arial" w:cs="Arial"/>
          <w:i/>
          <w:sz w:val="24"/>
          <w:szCs w:val="24"/>
        </w:rPr>
        <w:t xml:space="preserve">Principios, </w:t>
      </w:r>
      <w:r w:rsidR="00C35899" w:rsidRPr="008F486E">
        <w:rPr>
          <w:rFonts w:ascii="Arial" w:hAnsi="Arial" w:cs="Arial"/>
          <w:sz w:val="24"/>
          <w:szCs w:val="24"/>
        </w:rPr>
        <w:t>como el</w:t>
      </w:r>
      <w:r w:rsidR="00054186" w:rsidRPr="008F486E">
        <w:rPr>
          <w:rFonts w:ascii="Arial" w:hAnsi="Arial" w:cs="Arial"/>
          <w:i/>
          <w:sz w:val="24"/>
          <w:szCs w:val="24"/>
        </w:rPr>
        <w:t xml:space="preserve"> </w:t>
      </w:r>
      <w:r w:rsidR="0009773D" w:rsidRPr="008F486E">
        <w:rPr>
          <w:rFonts w:ascii="Arial" w:hAnsi="Arial" w:cs="Arial"/>
          <w:sz w:val="24"/>
          <w:szCs w:val="24"/>
        </w:rPr>
        <w:t>p</w:t>
      </w:r>
      <w:r w:rsidR="00054186" w:rsidRPr="008F486E">
        <w:rPr>
          <w:rFonts w:ascii="Arial" w:hAnsi="Arial" w:cs="Arial"/>
          <w:sz w:val="24"/>
          <w:szCs w:val="24"/>
        </w:rPr>
        <w:t>rincipio de</w:t>
      </w:r>
      <w:r w:rsidR="00054186" w:rsidRPr="008F486E">
        <w:rPr>
          <w:rFonts w:ascii="Arial" w:hAnsi="Arial" w:cs="Arial"/>
          <w:i/>
          <w:sz w:val="24"/>
          <w:szCs w:val="24"/>
        </w:rPr>
        <w:t xml:space="preserve"> </w:t>
      </w:r>
      <w:r w:rsidR="00054186" w:rsidRPr="008F486E">
        <w:rPr>
          <w:rFonts w:ascii="Arial" w:hAnsi="Arial" w:cs="Arial"/>
          <w:sz w:val="24"/>
          <w:szCs w:val="24"/>
        </w:rPr>
        <w:t>libertad de todos los Estados en el acceso, exploración y utilización del espacio ultraterrestre sin interferencias perjudiciales frente a terceros, respetando plenamente la seguridad y la integridad de los objetos espaciales y sus tripulantes de conformidad con las leyes y obligaciones internacionales, las prácticas adoptadas internacionalmente, los estándares técnicos y las políticas asociadas con la sostenibilidad a largo plazo de las actividades espaciales. Principio de responsabilidad de los Estados de abstenerse de la amenaza o el uso de la fuerza contra la integridad territorial o independencia política de cualquier Estado así como el derecho de legítima defensa, individual o co</w:t>
      </w:r>
      <w:r w:rsidR="002D56D9" w:rsidRPr="008F486E">
        <w:rPr>
          <w:rFonts w:ascii="Arial" w:hAnsi="Arial" w:cs="Arial"/>
          <w:sz w:val="24"/>
          <w:szCs w:val="24"/>
        </w:rPr>
        <w:t>lectiva, de conformidad con la C</w:t>
      </w:r>
      <w:r w:rsidR="00054186" w:rsidRPr="008F486E">
        <w:rPr>
          <w:rFonts w:ascii="Arial" w:hAnsi="Arial" w:cs="Arial"/>
          <w:sz w:val="24"/>
          <w:szCs w:val="24"/>
        </w:rPr>
        <w:t>arta de las Naciones Unidas</w:t>
      </w:r>
      <w:r w:rsidR="00C1025A" w:rsidRPr="008F486E">
        <w:rPr>
          <w:rFonts w:ascii="Arial" w:hAnsi="Arial" w:cs="Arial"/>
          <w:sz w:val="24"/>
          <w:szCs w:val="24"/>
        </w:rPr>
        <w:t xml:space="preserve"> y</w:t>
      </w:r>
      <w:r w:rsidR="002D56D9" w:rsidRPr="008F486E">
        <w:rPr>
          <w:rFonts w:ascii="Arial" w:hAnsi="Arial" w:cs="Arial"/>
          <w:sz w:val="24"/>
          <w:szCs w:val="24"/>
        </w:rPr>
        <w:t xml:space="preserve"> Principio de responsabilidad de los Estados respecto de sus actividades científicas, civiles, comerciales y militares con el objetivo de promover la exploración y utilización pacífica del espacio ultraterrestre en beneficio e interés de toda la Humanidad.</w:t>
      </w:r>
    </w:p>
    <w:p w:rsidR="000352B8" w:rsidRPr="008F486E" w:rsidRDefault="002D56D9" w:rsidP="008F486E">
      <w:pPr>
        <w:spacing w:line="360" w:lineRule="auto"/>
        <w:ind w:firstLine="360"/>
        <w:jc w:val="both"/>
        <w:rPr>
          <w:rFonts w:ascii="Arial" w:hAnsi="Arial" w:cs="Arial"/>
          <w:i/>
          <w:sz w:val="24"/>
          <w:szCs w:val="24"/>
        </w:rPr>
      </w:pPr>
      <w:r w:rsidRPr="008F486E">
        <w:rPr>
          <w:rFonts w:ascii="Arial" w:hAnsi="Arial" w:cs="Arial"/>
          <w:i/>
          <w:sz w:val="24"/>
          <w:szCs w:val="24"/>
        </w:rPr>
        <w:t xml:space="preserve"> </w:t>
      </w:r>
      <w:r w:rsidR="00C35899" w:rsidRPr="008F486E">
        <w:rPr>
          <w:rFonts w:ascii="Arial" w:hAnsi="Arial" w:cs="Arial"/>
          <w:sz w:val="24"/>
          <w:szCs w:val="24"/>
        </w:rPr>
        <w:t>L</w:t>
      </w:r>
      <w:r w:rsidRPr="008F486E">
        <w:rPr>
          <w:rFonts w:ascii="Arial" w:hAnsi="Arial" w:cs="Arial"/>
          <w:sz w:val="24"/>
          <w:szCs w:val="24"/>
        </w:rPr>
        <w:t>os Estados u organizaciones que sean parte de este Código de conducta se comprometen a cumplir y a promover la adopción</w:t>
      </w:r>
      <w:r w:rsidR="00273267" w:rsidRPr="008F486E">
        <w:rPr>
          <w:rFonts w:ascii="Arial" w:hAnsi="Arial" w:cs="Arial"/>
          <w:sz w:val="24"/>
          <w:szCs w:val="24"/>
        </w:rPr>
        <w:t xml:space="preserve"> de las disposiciones de la Carta de las Naciones Unidas, los tratados y convenios espaciales, las declaraciones y principios jurídicos que los desarrollan y complementan así como otras recomendaciones</w:t>
      </w:r>
      <w:r w:rsidR="00AC5DCA" w:rsidRPr="008F486E">
        <w:rPr>
          <w:rFonts w:ascii="Arial" w:hAnsi="Arial" w:cs="Arial"/>
          <w:sz w:val="24"/>
          <w:szCs w:val="24"/>
        </w:rPr>
        <w:t>, códigos de conducta</w:t>
      </w:r>
      <w:r w:rsidR="00273267" w:rsidRPr="008F486E">
        <w:rPr>
          <w:rFonts w:ascii="Arial" w:hAnsi="Arial" w:cs="Arial"/>
          <w:sz w:val="24"/>
          <w:szCs w:val="24"/>
        </w:rPr>
        <w:t xml:space="preserve"> y directrices ad hoc. Respecto al desarrollo de directrices relativas a las operaciones en el espacio ultraterrestre, los Estados y organizaciones se comprometen a debatirlas en el foro internacional apropiado, como COPU</w:t>
      </w:r>
      <w:r w:rsidR="00C35899" w:rsidRPr="008F486E">
        <w:rPr>
          <w:rFonts w:ascii="Arial" w:hAnsi="Arial" w:cs="Arial"/>
          <w:sz w:val="24"/>
          <w:szCs w:val="24"/>
        </w:rPr>
        <w:t xml:space="preserve">OS o la Conferencia del Desarme, y a </w:t>
      </w:r>
      <w:r w:rsidR="00273267" w:rsidRPr="008F486E">
        <w:rPr>
          <w:rFonts w:ascii="Arial" w:hAnsi="Arial" w:cs="Arial"/>
          <w:sz w:val="24"/>
          <w:szCs w:val="24"/>
        </w:rPr>
        <w:t>establecer e implementar políticas y procedimientos para minimizar el riesgo</w:t>
      </w:r>
      <w:r w:rsidR="00AC5DCA" w:rsidRPr="008F486E">
        <w:rPr>
          <w:rFonts w:ascii="Arial" w:hAnsi="Arial" w:cs="Arial"/>
          <w:sz w:val="24"/>
          <w:szCs w:val="24"/>
        </w:rPr>
        <w:t xml:space="preserve"> de accidentes en el espacio, colisiones entre objetos espaciales o cualquier tipo de interferencia perjudicial respecto a terceros. Como regla general, los Estados y organizaciones se abstendrán de dañar o destruir un objeto espacial, salvo cuando esté en riesgo la vida o salud humanas, para reducir la generación de residuos espaciales y en virtud del derecho inmanente de legítima defensa individual o colectiva.</w:t>
      </w:r>
    </w:p>
    <w:p w:rsidR="00D02575" w:rsidRPr="008F486E" w:rsidRDefault="00C35899" w:rsidP="008F486E">
      <w:pPr>
        <w:spacing w:line="360" w:lineRule="auto"/>
        <w:ind w:firstLine="360"/>
        <w:jc w:val="both"/>
        <w:rPr>
          <w:rFonts w:ascii="Arial" w:hAnsi="Arial" w:cs="Arial"/>
          <w:sz w:val="24"/>
          <w:szCs w:val="24"/>
        </w:rPr>
      </w:pPr>
      <w:r w:rsidRPr="008F486E">
        <w:rPr>
          <w:rFonts w:ascii="Arial" w:hAnsi="Arial" w:cs="Arial"/>
          <w:sz w:val="24"/>
          <w:szCs w:val="24"/>
        </w:rPr>
        <w:lastRenderedPageBreak/>
        <w:t>L</w:t>
      </w:r>
      <w:r w:rsidR="00C1025A" w:rsidRPr="008F486E">
        <w:rPr>
          <w:rFonts w:ascii="Arial" w:hAnsi="Arial" w:cs="Arial"/>
          <w:sz w:val="24"/>
          <w:szCs w:val="24"/>
        </w:rPr>
        <w:t>os Estados y organizaciones que</w:t>
      </w:r>
      <w:r w:rsidR="002B0620" w:rsidRPr="008F486E">
        <w:rPr>
          <w:rFonts w:ascii="Arial" w:hAnsi="Arial" w:cs="Arial"/>
          <w:sz w:val="24"/>
          <w:szCs w:val="24"/>
        </w:rPr>
        <w:t xml:space="preserve"> se adhieran al presente Código, </w:t>
      </w:r>
      <w:r w:rsidR="00C1025A" w:rsidRPr="008F486E">
        <w:rPr>
          <w:rFonts w:ascii="Arial" w:hAnsi="Arial" w:cs="Arial"/>
          <w:sz w:val="24"/>
          <w:szCs w:val="24"/>
        </w:rPr>
        <w:t>guiados por el principio de cooperación y asistencia mutua, recogido en el artículo IX del Tratado del Espacio de 1967, notificarán periódicamente y en la extensión de lo posible sobre aquellas actividades que puedan potencialme</w:t>
      </w:r>
      <w:r w:rsidRPr="008F486E">
        <w:rPr>
          <w:rFonts w:ascii="Arial" w:hAnsi="Arial" w:cs="Arial"/>
          <w:sz w:val="24"/>
          <w:szCs w:val="24"/>
        </w:rPr>
        <w:t>nte perjudicar a terceros como las</w:t>
      </w:r>
      <w:r w:rsidR="00C1025A" w:rsidRPr="008F486E">
        <w:rPr>
          <w:rFonts w:ascii="Arial" w:hAnsi="Arial" w:cs="Arial"/>
          <w:sz w:val="24"/>
          <w:szCs w:val="24"/>
        </w:rPr>
        <w:t xml:space="preserve"> maniobras planificadas que puedan suponer un riesgo, posibilidades de una colisión  en órbita, notificación previa del lanzamiento de un objeto espacial, roturas o colisiones en órbita que generen una cantidad importante de desechos espaciales, reentrada de objetos espaciales o partes componentes que puedan causar un daño significativo o una contaminación radioactiva, pérdida del control de un objeto espacial o mal funcionamiento de éste y que pueda suponer un riesgo de colisión con otros objetos</w:t>
      </w:r>
      <w:r w:rsidR="002B0620" w:rsidRPr="008F486E">
        <w:rPr>
          <w:rFonts w:ascii="Arial" w:hAnsi="Arial" w:cs="Arial"/>
          <w:sz w:val="24"/>
          <w:szCs w:val="24"/>
        </w:rPr>
        <w:t>. Estas notificaciones se dirigirán para su difusión al Punto Central de Contacto, a través de canales diplomáticos o cualquier otro medio que se establezca por las partes que suscriban el presente Código.</w:t>
      </w:r>
      <w:r w:rsidRPr="008F486E">
        <w:rPr>
          <w:rFonts w:ascii="Arial" w:hAnsi="Arial" w:cs="Arial"/>
          <w:sz w:val="24"/>
          <w:szCs w:val="24"/>
        </w:rPr>
        <w:t xml:space="preserve"> Además, </w:t>
      </w:r>
      <w:r w:rsidR="0009773D" w:rsidRPr="008F486E">
        <w:rPr>
          <w:rFonts w:ascii="Arial" w:hAnsi="Arial" w:cs="Arial"/>
          <w:sz w:val="24"/>
          <w:szCs w:val="24"/>
        </w:rPr>
        <w:t>l</w:t>
      </w:r>
      <w:r w:rsidR="002B0620" w:rsidRPr="008F486E">
        <w:rPr>
          <w:rFonts w:ascii="Arial" w:hAnsi="Arial" w:cs="Arial"/>
          <w:sz w:val="24"/>
          <w:szCs w:val="24"/>
        </w:rPr>
        <w:t>os Estados y organizaciones proporcionarán con carácter anual información sobre sus estrategias y políticas espaciales, sus programas de investigación y aplicaciones espaciales, políticas y procedimientos para minimizar la posibilidad de a</w:t>
      </w:r>
      <w:r w:rsidR="00B9264D" w:rsidRPr="008F486E">
        <w:rPr>
          <w:rFonts w:ascii="Arial" w:hAnsi="Arial" w:cs="Arial"/>
          <w:sz w:val="24"/>
          <w:szCs w:val="24"/>
        </w:rPr>
        <w:t>ccidentes y colisiones o la generación</w:t>
      </w:r>
      <w:r w:rsidR="002B0620" w:rsidRPr="008F486E">
        <w:rPr>
          <w:rFonts w:ascii="Arial" w:hAnsi="Arial" w:cs="Arial"/>
          <w:sz w:val="24"/>
          <w:szCs w:val="24"/>
        </w:rPr>
        <w:t xml:space="preserve"> de desechos espaciales así como su adhesión a instrumentos jurídicos y políticos relativos a las actividades espaciales.</w:t>
      </w:r>
      <w:r w:rsidR="00B9264D" w:rsidRPr="008F486E">
        <w:rPr>
          <w:rFonts w:ascii="Arial" w:hAnsi="Arial" w:cs="Arial"/>
          <w:sz w:val="24"/>
          <w:szCs w:val="24"/>
        </w:rPr>
        <w:t xml:space="preserve"> Los Estados espacialmente activos fomentarán la cooperación internacional prestando particular atención a aquellos países menos desarrollados.</w:t>
      </w:r>
      <w:r w:rsidRPr="008F486E">
        <w:rPr>
          <w:rFonts w:ascii="Arial" w:hAnsi="Arial" w:cs="Arial"/>
          <w:sz w:val="24"/>
          <w:szCs w:val="24"/>
        </w:rPr>
        <w:t xml:space="preserve"> Se procederá a C</w:t>
      </w:r>
      <w:r w:rsidR="0009773D" w:rsidRPr="008F486E">
        <w:rPr>
          <w:rFonts w:ascii="Arial" w:hAnsi="Arial" w:cs="Arial"/>
          <w:sz w:val="24"/>
          <w:szCs w:val="24"/>
        </w:rPr>
        <w:t>onsultas entre las partes cuando se tenga motivos para creer que una determinada actividad o experimento llevado a cabo en el espacio ultraterrestre pudiera perjudicar las actividades de otro Estado Parte u organización. Además se prevé que las Consultas puedan realizarse a través de vías diplomáticas u otros medios</w:t>
      </w:r>
      <w:r w:rsidR="00ED6F0F" w:rsidRPr="008F486E">
        <w:rPr>
          <w:rFonts w:ascii="Arial" w:hAnsi="Arial" w:cs="Arial"/>
          <w:sz w:val="24"/>
          <w:szCs w:val="24"/>
        </w:rPr>
        <w:t xml:space="preserve"> pacíficos a su elección pudiendo</w:t>
      </w:r>
      <w:r w:rsidR="0009773D" w:rsidRPr="008F486E">
        <w:rPr>
          <w:rFonts w:ascii="Arial" w:hAnsi="Arial" w:cs="Arial"/>
          <w:sz w:val="24"/>
          <w:szCs w:val="24"/>
        </w:rPr>
        <w:t xml:space="preserve"> establecerse grupos de expertos para el análisis de incidentes específicos que, basados en una información objetiva, sirvan para intentar evitar que se produzcan en el futuro.</w:t>
      </w:r>
    </w:p>
    <w:p w:rsidR="00AD0F70" w:rsidRPr="008F486E" w:rsidRDefault="00AD0F70" w:rsidP="008F486E">
      <w:pPr>
        <w:spacing w:line="360" w:lineRule="auto"/>
        <w:ind w:firstLine="360"/>
        <w:jc w:val="both"/>
        <w:rPr>
          <w:rFonts w:ascii="Arial" w:hAnsi="Arial" w:cs="Arial"/>
          <w:sz w:val="24"/>
          <w:szCs w:val="24"/>
        </w:rPr>
      </w:pPr>
    </w:p>
    <w:p w:rsidR="005B0FAA" w:rsidRPr="008F486E" w:rsidRDefault="00AD0BAA" w:rsidP="008F486E">
      <w:pPr>
        <w:pStyle w:val="Prrafodelista"/>
        <w:numPr>
          <w:ilvl w:val="0"/>
          <w:numId w:val="24"/>
        </w:numPr>
        <w:spacing w:line="360" w:lineRule="auto"/>
        <w:jc w:val="both"/>
        <w:rPr>
          <w:rFonts w:ascii="Arial" w:hAnsi="Arial" w:cs="Arial"/>
          <w:b/>
          <w:i/>
          <w:sz w:val="24"/>
          <w:szCs w:val="24"/>
        </w:rPr>
      </w:pPr>
      <w:r w:rsidRPr="008F486E">
        <w:rPr>
          <w:rFonts w:ascii="Arial" w:hAnsi="Arial" w:cs="Arial"/>
          <w:b/>
          <w:i/>
          <w:sz w:val="24"/>
          <w:szCs w:val="24"/>
        </w:rPr>
        <w:t>Directrices</w:t>
      </w:r>
    </w:p>
    <w:p w:rsidR="00D6139A" w:rsidRPr="008F486E" w:rsidRDefault="00DD61B8" w:rsidP="008F486E">
      <w:pPr>
        <w:spacing w:line="360" w:lineRule="auto"/>
        <w:ind w:firstLine="360"/>
        <w:jc w:val="both"/>
        <w:rPr>
          <w:rFonts w:ascii="Arial" w:hAnsi="Arial" w:cs="Arial"/>
          <w:sz w:val="24"/>
          <w:szCs w:val="24"/>
        </w:rPr>
      </w:pPr>
      <w:r w:rsidRPr="008F486E">
        <w:rPr>
          <w:rFonts w:ascii="Arial" w:hAnsi="Arial" w:cs="Arial"/>
          <w:i/>
          <w:sz w:val="24"/>
          <w:szCs w:val="24"/>
        </w:rPr>
        <w:t>Directrices del Comité Interi</w:t>
      </w:r>
      <w:r w:rsidR="009B3ECB" w:rsidRPr="008F486E">
        <w:rPr>
          <w:rFonts w:ascii="Arial" w:hAnsi="Arial" w:cs="Arial"/>
          <w:i/>
          <w:sz w:val="24"/>
          <w:szCs w:val="24"/>
        </w:rPr>
        <w:t>nstitucional de Coordinación en materia de Desechos Espac</w:t>
      </w:r>
      <w:r w:rsidR="00CA1085" w:rsidRPr="008F486E">
        <w:rPr>
          <w:rFonts w:ascii="Arial" w:hAnsi="Arial" w:cs="Arial"/>
          <w:i/>
          <w:sz w:val="24"/>
          <w:szCs w:val="24"/>
        </w:rPr>
        <w:t>iales para la Reducción de los D</w:t>
      </w:r>
      <w:r w:rsidR="009B3ECB" w:rsidRPr="008F486E">
        <w:rPr>
          <w:rFonts w:ascii="Arial" w:hAnsi="Arial" w:cs="Arial"/>
          <w:i/>
          <w:sz w:val="24"/>
          <w:szCs w:val="24"/>
        </w:rPr>
        <w:t xml:space="preserve">esechos Espaciales, de 29 de </w:t>
      </w:r>
      <w:r w:rsidR="009B3ECB" w:rsidRPr="008F486E">
        <w:rPr>
          <w:rFonts w:ascii="Arial" w:hAnsi="Arial" w:cs="Arial"/>
          <w:i/>
          <w:sz w:val="24"/>
          <w:szCs w:val="24"/>
        </w:rPr>
        <w:lastRenderedPageBreak/>
        <w:t>noviembre de 2002</w:t>
      </w:r>
      <w:r w:rsidR="0049653B" w:rsidRPr="008F486E">
        <w:rPr>
          <w:rStyle w:val="Refdenotaalpie"/>
          <w:rFonts w:ascii="Arial" w:hAnsi="Arial" w:cs="Arial"/>
          <w:sz w:val="24"/>
          <w:szCs w:val="24"/>
        </w:rPr>
        <w:footnoteReference w:id="58"/>
      </w:r>
      <w:r w:rsidR="009B3ECB" w:rsidRPr="008F486E">
        <w:rPr>
          <w:rFonts w:ascii="Arial" w:hAnsi="Arial" w:cs="Arial"/>
          <w:b/>
          <w:sz w:val="24"/>
          <w:szCs w:val="24"/>
        </w:rPr>
        <w:t xml:space="preserve">. </w:t>
      </w:r>
      <w:r w:rsidR="002E00A6" w:rsidRPr="008F486E">
        <w:rPr>
          <w:rFonts w:ascii="Arial" w:hAnsi="Arial" w:cs="Arial"/>
          <w:b/>
          <w:sz w:val="24"/>
          <w:szCs w:val="24"/>
        </w:rPr>
        <w:t xml:space="preserve"> </w:t>
      </w:r>
      <w:r w:rsidR="009B3ECB" w:rsidRPr="008F486E">
        <w:rPr>
          <w:rFonts w:ascii="Arial" w:hAnsi="Arial" w:cs="Arial"/>
          <w:b/>
          <w:sz w:val="24"/>
          <w:szCs w:val="24"/>
        </w:rPr>
        <w:t xml:space="preserve"> </w:t>
      </w:r>
      <w:r w:rsidR="009B3ECB" w:rsidRPr="008F486E">
        <w:rPr>
          <w:rFonts w:ascii="Arial" w:hAnsi="Arial" w:cs="Arial"/>
          <w:sz w:val="24"/>
          <w:szCs w:val="24"/>
        </w:rPr>
        <w:t>El IADC, conformado por varias agencias espaciales, propuso una serie d</w:t>
      </w:r>
      <w:r w:rsidR="00612173" w:rsidRPr="008F486E">
        <w:rPr>
          <w:rFonts w:ascii="Arial" w:hAnsi="Arial" w:cs="Arial"/>
          <w:sz w:val="24"/>
          <w:szCs w:val="24"/>
        </w:rPr>
        <w:t>e medidas de mitigación en las que</w:t>
      </w:r>
      <w:r w:rsidR="009B3ECB" w:rsidRPr="008F486E">
        <w:rPr>
          <w:rFonts w:ascii="Arial" w:hAnsi="Arial" w:cs="Arial"/>
          <w:sz w:val="24"/>
          <w:szCs w:val="24"/>
        </w:rPr>
        <w:t xml:space="preserve"> todos los sistemas espaciales deben ser diseñados y operados de tal modo que se prevengan explosiones accidentales o rupturas antes de finalizar la misión, o bien, colisiones accidentales teniendo en cuenta posibles maniobras de evitación, que no se lleven a cabo destrucciones intencionales que generen residuos de larga duración y que el sistema de propulsión sea diseñado para la </w:t>
      </w:r>
      <w:proofErr w:type="spellStart"/>
      <w:r w:rsidR="009B3ECB" w:rsidRPr="008F486E">
        <w:rPr>
          <w:rFonts w:ascii="Arial" w:hAnsi="Arial" w:cs="Arial"/>
          <w:sz w:val="24"/>
          <w:szCs w:val="24"/>
        </w:rPr>
        <w:t>pasivación</w:t>
      </w:r>
      <w:proofErr w:type="spellEnd"/>
      <w:r w:rsidR="009B3ECB" w:rsidRPr="008F486E">
        <w:rPr>
          <w:rFonts w:ascii="Arial" w:hAnsi="Arial" w:cs="Arial"/>
          <w:sz w:val="24"/>
          <w:szCs w:val="24"/>
        </w:rPr>
        <w:t>, es decir, la eliminación de toda energía acumulada en un sistema espacial.</w:t>
      </w:r>
    </w:p>
    <w:p w:rsidR="005B0FAA" w:rsidRPr="008F486E" w:rsidRDefault="009B3ECB" w:rsidP="008F486E">
      <w:pPr>
        <w:spacing w:line="360" w:lineRule="auto"/>
        <w:ind w:firstLine="360"/>
        <w:jc w:val="both"/>
        <w:rPr>
          <w:rFonts w:ascii="Arial" w:hAnsi="Arial" w:cs="Arial"/>
          <w:sz w:val="24"/>
          <w:szCs w:val="24"/>
        </w:rPr>
      </w:pPr>
      <w:r w:rsidRPr="008F486E">
        <w:rPr>
          <w:rFonts w:ascii="Arial" w:hAnsi="Arial" w:cs="Arial"/>
          <w:i/>
          <w:sz w:val="24"/>
          <w:szCs w:val="24"/>
        </w:rPr>
        <w:t>Direct</w:t>
      </w:r>
      <w:r w:rsidR="00F31FC6" w:rsidRPr="008F486E">
        <w:rPr>
          <w:rFonts w:ascii="Arial" w:hAnsi="Arial" w:cs="Arial"/>
          <w:i/>
          <w:sz w:val="24"/>
          <w:szCs w:val="24"/>
        </w:rPr>
        <w:t>rices para la Reducción de los D</w:t>
      </w:r>
      <w:r w:rsidRPr="008F486E">
        <w:rPr>
          <w:rFonts w:ascii="Arial" w:hAnsi="Arial" w:cs="Arial"/>
          <w:i/>
          <w:sz w:val="24"/>
          <w:szCs w:val="24"/>
        </w:rPr>
        <w:t>esechos Espaciales elaboradas por la Subcomisión de Asuntos Científicos y Técnicos de la Comisión sobre Utilización Pacífica del Espacio Ultraterrestre con Fines Pacíficos, de 6 de marzo de 2007</w:t>
      </w:r>
      <w:r w:rsidR="00DD61B8" w:rsidRPr="008F486E">
        <w:rPr>
          <w:rStyle w:val="Refdenotaalpie"/>
          <w:rFonts w:ascii="Arial" w:hAnsi="Arial" w:cs="Arial"/>
          <w:sz w:val="24"/>
          <w:szCs w:val="24"/>
        </w:rPr>
        <w:footnoteReference w:id="59"/>
      </w:r>
      <w:r w:rsidRPr="008F486E">
        <w:rPr>
          <w:rFonts w:ascii="Arial" w:hAnsi="Arial" w:cs="Arial"/>
          <w:b/>
          <w:sz w:val="24"/>
          <w:szCs w:val="24"/>
        </w:rPr>
        <w:t>.</w:t>
      </w:r>
      <w:r w:rsidR="00612173" w:rsidRPr="008F486E">
        <w:rPr>
          <w:rFonts w:ascii="Arial" w:hAnsi="Arial" w:cs="Arial"/>
          <w:b/>
          <w:sz w:val="24"/>
          <w:szCs w:val="24"/>
        </w:rPr>
        <w:t xml:space="preserve"> </w:t>
      </w:r>
      <w:r w:rsidRPr="008F486E">
        <w:rPr>
          <w:rFonts w:ascii="Arial" w:hAnsi="Arial" w:cs="Arial"/>
          <w:b/>
          <w:sz w:val="24"/>
          <w:szCs w:val="24"/>
        </w:rPr>
        <w:t xml:space="preserve"> </w:t>
      </w:r>
      <w:r w:rsidR="00F31FC6" w:rsidRPr="008F486E">
        <w:rPr>
          <w:rFonts w:ascii="Arial" w:hAnsi="Arial" w:cs="Arial"/>
          <w:sz w:val="24"/>
          <w:szCs w:val="24"/>
        </w:rPr>
        <w:t>Estas directrices de COPUOS no son vinculantes en virtud del derecho internacional, sin embargo, deberían tenerse en cuenta en la planificación de las misiones y en las fases de diseño, fabricación, funcionamiento y eliminación de los vehículos espaciales y de las etapas orbitales de los vehículos de lanzamiento. El probl</w:t>
      </w:r>
      <w:r w:rsidR="00E41A23" w:rsidRPr="008F486E">
        <w:rPr>
          <w:rFonts w:ascii="Arial" w:hAnsi="Arial" w:cs="Arial"/>
          <w:sz w:val="24"/>
          <w:szCs w:val="24"/>
        </w:rPr>
        <w:t xml:space="preserve">ema de los desechos espaciales </w:t>
      </w:r>
      <w:r w:rsidR="00F31FC6" w:rsidRPr="008F486E">
        <w:rPr>
          <w:rFonts w:ascii="Arial" w:hAnsi="Arial" w:cs="Arial"/>
          <w:sz w:val="24"/>
          <w:szCs w:val="24"/>
        </w:rPr>
        <w:t xml:space="preserve">se agrava cuando estos ingenios llevan fuentes de energía nuclear a bordo, como fue el caso, el 24 de enero de 1978, cuando, debido a la despresurización del satélite soviético Cosmos 954, este reentró en la atmósfera terrestre y, aun desintegrándose, sus fragmentos radioactivos cayeron en territorio canadiense. </w:t>
      </w:r>
      <w:r w:rsidR="0068715A" w:rsidRPr="008F486E">
        <w:rPr>
          <w:rFonts w:ascii="Arial" w:hAnsi="Arial" w:cs="Arial"/>
          <w:sz w:val="24"/>
          <w:szCs w:val="24"/>
        </w:rPr>
        <w:t xml:space="preserve"> </w:t>
      </w:r>
      <w:r w:rsidR="008F156E" w:rsidRPr="008F486E">
        <w:rPr>
          <w:rFonts w:ascii="Arial" w:hAnsi="Arial" w:cs="Arial"/>
          <w:sz w:val="24"/>
          <w:szCs w:val="24"/>
        </w:rPr>
        <w:t>A estos efectos, s</w:t>
      </w:r>
      <w:r w:rsidR="00F31FC6" w:rsidRPr="008F486E">
        <w:rPr>
          <w:rFonts w:ascii="Arial" w:hAnsi="Arial" w:cs="Arial"/>
          <w:sz w:val="24"/>
          <w:szCs w:val="24"/>
        </w:rPr>
        <w:t>ería conveniente que, como propuso en abril de 2011 la delegación checa</w:t>
      </w:r>
      <w:r w:rsidR="00F830F4" w:rsidRPr="008F486E">
        <w:rPr>
          <w:rStyle w:val="Refdenotaalpie"/>
          <w:rFonts w:ascii="Arial" w:hAnsi="Arial" w:cs="Arial"/>
          <w:sz w:val="24"/>
          <w:szCs w:val="24"/>
        </w:rPr>
        <w:footnoteReference w:id="60"/>
      </w:r>
      <w:r w:rsidR="00F31FC6" w:rsidRPr="008F486E">
        <w:rPr>
          <w:rFonts w:ascii="Arial" w:hAnsi="Arial" w:cs="Arial"/>
          <w:sz w:val="24"/>
          <w:szCs w:val="24"/>
        </w:rPr>
        <w:t xml:space="preserve"> ante la Subcomisión Jurídica, COPUOS desarrollara un conjunto de principios, basados en las Directrices de 2007, que fueran posteriormente aprobados por la Asamblea General de las Naciones Unidas, y en caso de obtener consenso, se consideraran como derecho aplicable.</w:t>
      </w:r>
      <w:r w:rsidR="005B0FAA" w:rsidRPr="008F486E">
        <w:rPr>
          <w:rFonts w:ascii="Arial" w:hAnsi="Arial" w:cs="Arial"/>
          <w:sz w:val="24"/>
          <w:szCs w:val="24"/>
        </w:rPr>
        <w:t xml:space="preserve"> </w:t>
      </w:r>
    </w:p>
    <w:p w:rsidR="00944D3B" w:rsidRPr="008F486E" w:rsidRDefault="00944D3B" w:rsidP="008F486E">
      <w:pPr>
        <w:spacing w:line="360" w:lineRule="auto"/>
        <w:ind w:firstLine="360"/>
        <w:jc w:val="both"/>
        <w:rPr>
          <w:rFonts w:ascii="Arial" w:hAnsi="Arial" w:cs="Arial"/>
          <w:sz w:val="24"/>
          <w:szCs w:val="24"/>
        </w:rPr>
      </w:pPr>
      <w:r w:rsidRPr="008F486E">
        <w:rPr>
          <w:rFonts w:ascii="Arial" w:hAnsi="Arial" w:cs="Arial"/>
          <w:sz w:val="24"/>
          <w:szCs w:val="24"/>
        </w:rPr>
        <w:lastRenderedPageBreak/>
        <w:t xml:space="preserve">La propuesta de </w:t>
      </w:r>
      <w:r w:rsidRPr="008F486E">
        <w:rPr>
          <w:rFonts w:ascii="Arial" w:hAnsi="Arial" w:cs="Arial"/>
          <w:i/>
          <w:sz w:val="24"/>
          <w:szCs w:val="24"/>
        </w:rPr>
        <w:t>Directrices relativas a la sostenibilidad a largo plazo de las actividades en el espacio ultraterrestre</w:t>
      </w:r>
      <w:r w:rsidRPr="008F486E">
        <w:rPr>
          <w:rFonts w:ascii="Arial" w:hAnsi="Arial" w:cs="Arial"/>
          <w:sz w:val="24"/>
          <w:szCs w:val="24"/>
        </w:rPr>
        <w:t xml:space="preserve"> aún </w:t>
      </w:r>
      <w:proofErr w:type="gramStart"/>
      <w:r w:rsidRPr="008F486E">
        <w:rPr>
          <w:rFonts w:ascii="Arial" w:hAnsi="Arial" w:cs="Arial"/>
          <w:sz w:val="24"/>
          <w:szCs w:val="24"/>
        </w:rPr>
        <w:t>están</w:t>
      </w:r>
      <w:proofErr w:type="gramEnd"/>
      <w:r w:rsidRPr="008F486E">
        <w:rPr>
          <w:rFonts w:ascii="Arial" w:hAnsi="Arial" w:cs="Arial"/>
          <w:sz w:val="24"/>
          <w:szCs w:val="24"/>
        </w:rPr>
        <w:t xml:space="preserve"> siendo objeto de estudio y modificaciones por la subcomisión jurídica de COPUOS hasta alcanzar el debido consenso</w:t>
      </w:r>
      <w:r w:rsidRPr="008F486E">
        <w:rPr>
          <w:rStyle w:val="Refdenotaalpie"/>
          <w:rFonts w:ascii="Arial" w:hAnsi="Arial" w:cs="Arial"/>
          <w:sz w:val="24"/>
          <w:szCs w:val="24"/>
        </w:rPr>
        <w:footnoteReference w:id="61"/>
      </w:r>
      <w:r w:rsidRPr="008F486E">
        <w:rPr>
          <w:rFonts w:ascii="Arial" w:hAnsi="Arial" w:cs="Arial"/>
          <w:sz w:val="24"/>
          <w:szCs w:val="24"/>
        </w:rPr>
        <w:t>.</w:t>
      </w:r>
    </w:p>
    <w:p w:rsidR="00CA3CBF" w:rsidRPr="008F486E" w:rsidRDefault="0068715A" w:rsidP="008F486E">
      <w:pPr>
        <w:spacing w:line="360" w:lineRule="auto"/>
        <w:ind w:firstLine="360"/>
        <w:jc w:val="both"/>
        <w:rPr>
          <w:rFonts w:ascii="Arial" w:hAnsi="Arial" w:cs="Arial"/>
          <w:sz w:val="24"/>
          <w:szCs w:val="24"/>
        </w:rPr>
      </w:pPr>
      <w:r w:rsidRPr="008F486E">
        <w:rPr>
          <w:rFonts w:ascii="Arial" w:hAnsi="Arial" w:cs="Arial"/>
          <w:sz w:val="24"/>
          <w:szCs w:val="24"/>
        </w:rPr>
        <w:t xml:space="preserve">La Asamblea General de las Naciones Unidas </w:t>
      </w:r>
      <w:r w:rsidR="00B271E7" w:rsidRPr="008F486E">
        <w:rPr>
          <w:rFonts w:ascii="Arial" w:hAnsi="Arial" w:cs="Arial"/>
          <w:sz w:val="24"/>
          <w:szCs w:val="24"/>
        </w:rPr>
        <w:t>manifiesta</w:t>
      </w:r>
      <w:r w:rsidR="002E00A6" w:rsidRPr="008F486E">
        <w:rPr>
          <w:rStyle w:val="Refdenotaalpie"/>
          <w:rFonts w:ascii="Arial" w:hAnsi="Arial" w:cs="Arial"/>
          <w:sz w:val="24"/>
          <w:szCs w:val="24"/>
        </w:rPr>
        <w:footnoteReference w:id="62"/>
      </w:r>
      <w:r w:rsidR="00B271E7" w:rsidRPr="008F486E">
        <w:rPr>
          <w:rFonts w:ascii="Arial" w:hAnsi="Arial" w:cs="Arial"/>
          <w:sz w:val="24"/>
          <w:szCs w:val="24"/>
        </w:rPr>
        <w:t xml:space="preserve"> </w:t>
      </w:r>
      <w:r w:rsidRPr="008F486E">
        <w:rPr>
          <w:rFonts w:ascii="Arial" w:hAnsi="Arial" w:cs="Arial"/>
          <w:sz w:val="24"/>
          <w:szCs w:val="24"/>
        </w:rPr>
        <w:t xml:space="preserve">la importancia del intercambio de información para descubrir, vigilar y caracterizar físicamente los </w:t>
      </w:r>
      <w:r w:rsidRPr="008F486E">
        <w:rPr>
          <w:rFonts w:ascii="Arial" w:hAnsi="Arial" w:cs="Arial"/>
          <w:i/>
          <w:sz w:val="24"/>
          <w:szCs w:val="24"/>
        </w:rPr>
        <w:t>objetos cercanos a la Tierra</w:t>
      </w:r>
      <w:r w:rsidR="00B271E7" w:rsidRPr="008F486E">
        <w:rPr>
          <w:rFonts w:ascii="Arial" w:hAnsi="Arial" w:cs="Arial"/>
          <w:i/>
          <w:sz w:val="24"/>
          <w:szCs w:val="24"/>
        </w:rPr>
        <w:t xml:space="preserve"> </w:t>
      </w:r>
      <w:r w:rsidRPr="008F486E">
        <w:rPr>
          <w:rFonts w:ascii="Arial" w:hAnsi="Arial" w:cs="Arial"/>
          <w:i/>
          <w:sz w:val="24"/>
          <w:szCs w:val="24"/>
        </w:rPr>
        <w:t>potencialmente peligrosos</w:t>
      </w:r>
      <w:r w:rsidRPr="008F486E">
        <w:rPr>
          <w:rFonts w:ascii="Arial" w:hAnsi="Arial" w:cs="Arial"/>
          <w:sz w:val="24"/>
          <w:szCs w:val="24"/>
        </w:rPr>
        <w:t xml:space="preserve">, </w:t>
      </w:r>
      <w:r w:rsidR="00B271E7" w:rsidRPr="008F486E">
        <w:rPr>
          <w:rFonts w:ascii="Arial" w:hAnsi="Arial" w:cs="Arial"/>
          <w:sz w:val="24"/>
          <w:szCs w:val="24"/>
        </w:rPr>
        <w:t xml:space="preserve">destacando </w:t>
      </w:r>
      <w:r w:rsidRPr="008F486E">
        <w:rPr>
          <w:rFonts w:ascii="Arial" w:hAnsi="Arial" w:cs="Arial"/>
          <w:sz w:val="24"/>
          <w:szCs w:val="24"/>
        </w:rPr>
        <w:t>la necesidad de desarrollar la capacidad para una respuesta de emergencia y una gestión de desastres eficaces</w:t>
      </w:r>
      <w:r w:rsidR="005B0FAA" w:rsidRPr="008F486E">
        <w:rPr>
          <w:rFonts w:ascii="Arial" w:hAnsi="Arial" w:cs="Arial"/>
          <w:sz w:val="24"/>
          <w:szCs w:val="24"/>
        </w:rPr>
        <w:t xml:space="preserve"> en caso </w:t>
      </w:r>
      <w:r w:rsidR="00B271E7" w:rsidRPr="008F486E">
        <w:rPr>
          <w:rFonts w:ascii="Arial" w:hAnsi="Arial" w:cs="Arial"/>
          <w:sz w:val="24"/>
          <w:szCs w:val="24"/>
        </w:rPr>
        <w:t>de impacto de un asteroide contra nuestro planeta</w:t>
      </w:r>
      <w:r w:rsidR="00AD6636" w:rsidRPr="008F486E">
        <w:rPr>
          <w:rStyle w:val="Refdenotaalpie"/>
          <w:rFonts w:ascii="Arial" w:hAnsi="Arial" w:cs="Arial"/>
          <w:sz w:val="24"/>
          <w:szCs w:val="24"/>
        </w:rPr>
        <w:footnoteReference w:id="63"/>
      </w:r>
      <w:r w:rsidR="00B271E7" w:rsidRPr="008F486E">
        <w:rPr>
          <w:rFonts w:ascii="Arial" w:hAnsi="Arial" w:cs="Arial"/>
          <w:sz w:val="24"/>
          <w:szCs w:val="24"/>
        </w:rPr>
        <w:t xml:space="preserve">. Actualmente se cuenta con una serie de </w:t>
      </w:r>
      <w:r w:rsidR="00B271E7" w:rsidRPr="008F486E">
        <w:rPr>
          <w:rFonts w:ascii="Arial" w:hAnsi="Arial" w:cs="Arial"/>
          <w:i/>
          <w:sz w:val="24"/>
          <w:szCs w:val="24"/>
        </w:rPr>
        <w:t>Recomendaciones</w:t>
      </w:r>
      <w:r w:rsidR="002E00A6" w:rsidRPr="008F486E">
        <w:rPr>
          <w:rStyle w:val="Refdenotaalpie"/>
          <w:rFonts w:ascii="Arial" w:hAnsi="Arial" w:cs="Arial"/>
          <w:sz w:val="24"/>
          <w:szCs w:val="24"/>
        </w:rPr>
        <w:footnoteReference w:id="64"/>
      </w:r>
      <w:r w:rsidR="002E00A6" w:rsidRPr="008F486E">
        <w:rPr>
          <w:rFonts w:ascii="Arial" w:hAnsi="Arial" w:cs="Arial"/>
          <w:sz w:val="24"/>
          <w:szCs w:val="24"/>
        </w:rPr>
        <w:t xml:space="preserve"> </w:t>
      </w:r>
      <w:r w:rsidR="00B271E7" w:rsidRPr="008F486E">
        <w:rPr>
          <w:rFonts w:ascii="Arial" w:hAnsi="Arial" w:cs="Arial"/>
          <w:sz w:val="24"/>
          <w:szCs w:val="24"/>
        </w:rPr>
        <w:t>del Equipo de Acción sobre objetos cercanos a la Tierra</w:t>
      </w:r>
      <w:r w:rsidR="00D02575" w:rsidRPr="008F486E">
        <w:rPr>
          <w:rFonts w:ascii="Arial" w:hAnsi="Arial" w:cs="Arial"/>
          <w:sz w:val="24"/>
          <w:szCs w:val="24"/>
        </w:rPr>
        <w:t>.</w:t>
      </w:r>
    </w:p>
    <w:p w:rsidR="00F96A93" w:rsidRPr="008F486E" w:rsidRDefault="00F96A93" w:rsidP="008F486E">
      <w:pPr>
        <w:spacing w:line="360" w:lineRule="auto"/>
        <w:jc w:val="both"/>
        <w:rPr>
          <w:rFonts w:ascii="Arial" w:hAnsi="Arial" w:cs="Arial"/>
          <w:b/>
          <w:sz w:val="24"/>
          <w:szCs w:val="24"/>
        </w:rPr>
      </w:pPr>
    </w:p>
    <w:p w:rsidR="00FA51B2" w:rsidRPr="008F486E" w:rsidRDefault="00B94FDD" w:rsidP="008F486E">
      <w:pPr>
        <w:spacing w:line="360" w:lineRule="auto"/>
        <w:jc w:val="both"/>
        <w:rPr>
          <w:rFonts w:ascii="Arial" w:hAnsi="Arial" w:cs="Arial"/>
          <w:b/>
          <w:sz w:val="24"/>
          <w:szCs w:val="24"/>
        </w:rPr>
      </w:pPr>
      <w:r w:rsidRPr="008F486E">
        <w:rPr>
          <w:rFonts w:ascii="Arial" w:hAnsi="Arial" w:cs="Arial"/>
          <w:b/>
          <w:sz w:val="24"/>
          <w:szCs w:val="24"/>
        </w:rPr>
        <w:t>II.C. Ámbit</w:t>
      </w:r>
      <w:r w:rsidR="002F1B0C" w:rsidRPr="008F486E">
        <w:rPr>
          <w:rFonts w:ascii="Arial" w:hAnsi="Arial" w:cs="Arial"/>
          <w:b/>
          <w:sz w:val="24"/>
          <w:szCs w:val="24"/>
        </w:rPr>
        <w:t>o de la Unión Europea.</w:t>
      </w:r>
    </w:p>
    <w:p w:rsidR="00FA51B2" w:rsidRPr="008F486E" w:rsidRDefault="00FA51B2" w:rsidP="008F486E">
      <w:pPr>
        <w:pStyle w:val="Prrafodelista"/>
        <w:numPr>
          <w:ilvl w:val="0"/>
          <w:numId w:val="27"/>
        </w:numPr>
        <w:spacing w:line="360" w:lineRule="auto"/>
        <w:jc w:val="both"/>
        <w:rPr>
          <w:rFonts w:ascii="Arial" w:hAnsi="Arial" w:cs="Arial"/>
          <w:b/>
          <w:i/>
          <w:sz w:val="24"/>
          <w:szCs w:val="24"/>
        </w:rPr>
      </w:pPr>
      <w:r w:rsidRPr="008F486E">
        <w:rPr>
          <w:rFonts w:ascii="Arial" w:hAnsi="Arial" w:cs="Arial"/>
          <w:b/>
          <w:i/>
          <w:sz w:val="24"/>
          <w:szCs w:val="24"/>
        </w:rPr>
        <w:t>Cooperación Internacional.</w:t>
      </w:r>
    </w:p>
    <w:p w:rsidR="00946E90" w:rsidRPr="008F486E" w:rsidRDefault="00D6213F" w:rsidP="008F486E">
      <w:pPr>
        <w:spacing w:line="360" w:lineRule="auto"/>
        <w:ind w:firstLine="360"/>
        <w:jc w:val="both"/>
        <w:rPr>
          <w:rFonts w:ascii="Arial" w:hAnsi="Arial" w:cs="Arial"/>
          <w:sz w:val="24"/>
          <w:szCs w:val="24"/>
        </w:rPr>
      </w:pPr>
      <w:r w:rsidRPr="008F486E">
        <w:rPr>
          <w:rFonts w:ascii="Arial" w:hAnsi="Arial" w:cs="Arial"/>
          <w:sz w:val="24"/>
          <w:szCs w:val="24"/>
        </w:rPr>
        <w:t>El 11 de diciembre de 2013, el Parlamento Europeo y el Consejo</w:t>
      </w:r>
      <w:r w:rsidR="000352B8" w:rsidRPr="008F486E">
        <w:rPr>
          <w:rFonts w:ascii="Arial" w:hAnsi="Arial" w:cs="Arial"/>
          <w:sz w:val="24"/>
          <w:szCs w:val="24"/>
        </w:rPr>
        <w:t xml:space="preserve"> apro</w:t>
      </w:r>
      <w:r w:rsidR="008A3C76" w:rsidRPr="008F486E">
        <w:rPr>
          <w:rFonts w:ascii="Arial" w:hAnsi="Arial" w:cs="Arial"/>
          <w:sz w:val="24"/>
          <w:szCs w:val="24"/>
        </w:rPr>
        <w:t>baron</w:t>
      </w:r>
      <w:r w:rsidR="00900B36" w:rsidRPr="008F486E">
        <w:rPr>
          <w:rFonts w:ascii="Arial" w:hAnsi="Arial" w:cs="Arial"/>
          <w:sz w:val="24"/>
          <w:szCs w:val="24"/>
        </w:rPr>
        <w:t xml:space="preserve"> el Reglamento </w:t>
      </w:r>
      <w:r w:rsidR="008A3C76" w:rsidRPr="008F486E">
        <w:rPr>
          <w:rFonts w:ascii="Arial" w:hAnsi="Arial" w:cs="Arial"/>
          <w:sz w:val="24"/>
          <w:szCs w:val="24"/>
        </w:rPr>
        <w:t>1291/2013 por el que se estableció</w:t>
      </w:r>
      <w:r w:rsidR="00900B36" w:rsidRPr="008F486E">
        <w:rPr>
          <w:rFonts w:ascii="Arial" w:hAnsi="Arial" w:cs="Arial"/>
          <w:sz w:val="24"/>
          <w:szCs w:val="24"/>
        </w:rPr>
        <w:t xml:space="preserve"> el Programa Marco de Investigación e Innovación denominado </w:t>
      </w:r>
      <w:r w:rsidR="00900B36" w:rsidRPr="008F486E">
        <w:rPr>
          <w:rFonts w:ascii="Arial" w:hAnsi="Arial" w:cs="Arial"/>
          <w:i/>
          <w:sz w:val="24"/>
          <w:szCs w:val="24"/>
        </w:rPr>
        <w:t>Horizonte 2020</w:t>
      </w:r>
      <w:r w:rsidR="003140A9" w:rsidRPr="008F486E">
        <w:rPr>
          <w:rStyle w:val="Refdenotaalpie"/>
          <w:rFonts w:ascii="Arial" w:hAnsi="Arial" w:cs="Arial"/>
          <w:sz w:val="24"/>
          <w:szCs w:val="24"/>
        </w:rPr>
        <w:footnoteReference w:id="65"/>
      </w:r>
      <w:r w:rsidR="00900B36" w:rsidRPr="008F486E">
        <w:rPr>
          <w:rFonts w:ascii="Arial" w:hAnsi="Arial" w:cs="Arial"/>
          <w:sz w:val="24"/>
          <w:szCs w:val="24"/>
        </w:rPr>
        <w:t>. Este programa</w:t>
      </w:r>
      <w:r w:rsidR="009268BB" w:rsidRPr="008F486E">
        <w:rPr>
          <w:rFonts w:ascii="Arial" w:hAnsi="Arial" w:cs="Arial"/>
          <w:sz w:val="24"/>
          <w:szCs w:val="24"/>
        </w:rPr>
        <w:t xml:space="preserve"> tiene en cuenta el carácter evolutivo de la ciencia, la tecnología, la innovación, las economías y la sociedad en un mundo globalizado, incluyéndose en la innovación sus aspectos empresariales, organizativos, tecnológicos, sociales y </w:t>
      </w:r>
      <w:r w:rsidR="009268BB" w:rsidRPr="008F486E">
        <w:rPr>
          <w:rFonts w:ascii="Arial" w:hAnsi="Arial" w:cs="Arial"/>
          <w:sz w:val="24"/>
          <w:szCs w:val="24"/>
        </w:rPr>
        <w:lastRenderedPageBreak/>
        <w:t>medioambientales. Asimismo, promueve</w:t>
      </w:r>
      <w:r w:rsidR="00900B36" w:rsidRPr="008F486E">
        <w:rPr>
          <w:rFonts w:ascii="Arial" w:hAnsi="Arial" w:cs="Arial"/>
          <w:sz w:val="24"/>
          <w:szCs w:val="24"/>
        </w:rPr>
        <w:t xml:space="preserve"> la cooperación in</w:t>
      </w:r>
      <w:r w:rsidR="009268BB" w:rsidRPr="008F486E">
        <w:rPr>
          <w:rFonts w:ascii="Arial" w:hAnsi="Arial" w:cs="Arial"/>
          <w:sz w:val="24"/>
          <w:szCs w:val="24"/>
        </w:rPr>
        <w:t xml:space="preserve">ternacional con terceros países </w:t>
      </w:r>
      <w:r w:rsidR="00900B36" w:rsidRPr="008F486E">
        <w:rPr>
          <w:rFonts w:ascii="Arial" w:hAnsi="Arial" w:cs="Arial"/>
          <w:sz w:val="24"/>
          <w:szCs w:val="24"/>
        </w:rPr>
        <w:t>creando sinergias con los programas externos</w:t>
      </w:r>
      <w:r w:rsidR="003140A9" w:rsidRPr="008F486E">
        <w:rPr>
          <w:rFonts w:ascii="Arial" w:hAnsi="Arial" w:cs="Arial"/>
          <w:sz w:val="24"/>
          <w:szCs w:val="24"/>
        </w:rPr>
        <w:t xml:space="preserve">, actividades horizontales y trasversales, </w:t>
      </w:r>
      <w:r w:rsidR="008A3C76" w:rsidRPr="008F486E">
        <w:rPr>
          <w:rFonts w:ascii="Arial" w:hAnsi="Arial" w:cs="Arial"/>
          <w:sz w:val="24"/>
          <w:szCs w:val="24"/>
        </w:rPr>
        <w:t xml:space="preserve">y </w:t>
      </w:r>
      <w:r w:rsidR="009268BB" w:rsidRPr="008F486E">
        <w:rPr>
          <w:rFonts w:ascii="Arial" w:hAnsi="Arial" w:cs="Arial"/>
          <w:sz w:val="24"/>
          <w:szCs w:val="24"/>
        </w:rPr>
        <w:t>contribuyendo</w:t>
      </w:r>
      <w:r w:rsidR="009A0783" w:rsidRPr="008F486E">
        <w:rPr>
          <w:rFonts w:ascii="Arial" w:hAnsi="Arial" w:cs="Arial"/>
          <w:sz w:val="24"/>
          <w:szCs w:val="24"/>
        </w:rPr>
        <w:t xml:space="preserve"> </w:t>
      </w:r>
      <w:r w:rsidR="00900B36" w:rsidRPr="008F486E">
        <w:rPr>
          <w:rFonts w:ascii="Arial" w:hAnsi="Arial" w:cs="Arial"/>
          <w:sz w:val="24"/>
          <w:szCs w:val="24"/>
        </w:rPr>
        <w:t xml:space="preserve">con los compromisos internacionales adquiridos por </w:t>
      </w:r>
      <w:r w:rsidR="009A0783" w:rsidRPr="008F486E">
        <w:rPr>
          <w:rFonts w:ascii="Arial" w:hAnsi="Arial" w:cs="Arial"/>
          <w:sz w:val="24"/>
          <w:szCs w:val="24"/>
        </w:rPr>
        <w:t xml:space="preserve">la Unión </w:t>
      </w:r>
      <w:r w:rsidR="008A3C76" w:rsidRPr="008F486E">
        <w:rPr>
          <w:rFonts w:ascii="Arial" w:hAnsi="Arial" w:cs="Arial"/>
          <w:sz w:val="24"/>
          <w:szCs w:val="24"/>
        </w:rPr>
        <w:t>como el logro de los Objetivos de Desarrollo del Milenio de las N</w:t>
      </w:r>
      <w:r w:rsidR="00900B36" w:rsidRPr="008F486E">
        <w:rPr>
          <w:rFonts w:ascii="Arial" w:hAnsi="Arial" w:cs="Arial"/>
          <w:sz w:val="24"/>
          <w:szCs w:val="24"/>
        </w:rPr>
        <w:t xml:space="preserve">aciones Unidas. </w:t>
      </w:r>
    </w:p>
    <w:p w:rsidR="00795C1C" w:rsidRPr="008F486E" w:rsidRDefault="0085587F"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El Parlamento Europeo opina que para garantizar un entorno espacial pacífico y seguro es necesaria la cooperación con socios </w:t>
      </w:r>
      <w:r w:rsidR="00946E90" w:rsidRPr="008F486E">
        <w:rPr>
          <w:rFonts w:ascii="Arial" w:hAnsi="Arial" w:cs="Arial"/>
          <w:sz w:val="24"/>
          <w:szCs w:val="24"/>
        </w:rPr>
        <w:t>internacionales con el objetivo de que la exploración espacial sea llevada a cabo de un modo responsable y sostenible. En este sentido, debe existir una coordinación internacional sobre la gestión del tráfico espacial y minimizar la generación de desechos espaciales</w:t>
      </w:r>
      <w:r w:rsidR="00CA1085" w:rsidRPr="008F486E">
        <w:rPr>
          <w:rFonts w:ascii="Arial" w:hAnsi="Arial" w:cs="Arial"/>
          <w:sz w:val="24"/>
          <w:szCs w:val="24"/>
        </w:rPr>
        <w:t xml:space="preserve"> de conformidad con el Código de conducta europeo para la mitigación de los desechos espaciales, de 28 de junio de 2004; con la Propuesta de Código Internacional de Conducta para las actividades espaciales, de 31 de marzo de 2014; con las Directrices del Comité Interinstitucional de Coordinación en materia de desechos espaciales para la reducción de los desechos espaciales, de 29 de noviembre de 2002 y con las Directrices para la reducción de los desechos espaciales elaboradas por la Subcomisión de Asuntos Científicos y Técnicos de la Comisión sobre Utilización Pacífica del Espacio Ultraterrestre con Fines Pacíficos, de 6 de marzo de 2007.</w:t>
      </w:r>
      <w:r w:rsidR="0064402A" w:rsidRPr="008F486E">
        <w:rPr>
          <w:rFonts w:ascii="Arial" w:hAnsi="Arial" w:cs="Arial"/>
          <w:sz w:val="24"/>
          <w:szCs w:val="24"/>
        </w:rPr>
        <w:t xml:space="preserve"> A estas medidas</w:t>
      </w:r>
      <w:r w:rsidR="00300C87" w:rsidRPr="008F486E">
        <w:rPr>
          <w:rFonts w:ascii="Arial" w:hAnsi="Arial" w:cs="Arial"/>
          <w:sz w:val="24"/>
          <w:szCs w:val="24"/>
        </w:rPr>
        <w:t xml:space="preserve">, que hemos tratado en el apartado II.B. 3 y 4, del presente trabajo, </w:t>
      </w:r>
      <w:r w:rsidR="0064402A" w:rsidRPr="008F486E">
        <w:rPr>
          <w:rFonts w:ascii="Arial" w:hAnsi="Arial" w:cs="Arial"/>
          <w:sz w:val="24"/>
          <w:szCs w:val="24"/>
        </w:rPr>
        <w:t xml:space="preserve"> hay que añadir las establecidas en la Decisión del Parlamento Europeo y del Consejo, de 16 de abril de 2014</w:t>
      </w:r>
      <w:r w:rsidR="000D390E" w:rsidRPr="008F486E">
        <w:rPr>
          <w:rStyle w:val="Refdenotaalpie"/>
          <w:rFonts w:ascii="Arial" w:hAnsi="Arial" w:cs="Arial"/>
          <w:sz w:val="24"/>
          <w:szCs w:val="24"/>
        </w:rPr>
        <w:footnoteReference w:id="66"/>
      </w:r>
      <w:r w:rsidR="0064402A" w:rsidRPr="008F486E">
        <w:rPr>
          <w:rFonts w:ascii="Arial" w:hAnsi="Arial" w:cs="Arial"/>
          <w:sz w:val="24"/>
          <w:szCs w:val="24"/>
        </w:rPr>
        <w:t>, por la que se establece un marco de apoyo a la vigilancia y el seguimiento espacial</w:t>
      </w:r>
      <w:r w:rsidR="00D06600" w:rsidRPr="008F486E">
        <w:rPr>
          <w:rFonts w:ascii="Arial" w:hAnsi="Arial" w:cs="Arial"/>
          <w:sz w:val="24"/>
          <w:szCs w:val="24"/>
        </w:rPr>
        <w:t xml:space="preserve"> (VSE)</w:t>
      </w:r>
      <w:r w:rsidR="0064402A" w:rsidRPr="008F486E">
        <w:rPr>
          <w:rFonts w:ascii="Arial" w:hAnsi="Arial" w:cs="Arial"/>
          <w:sz w:val="24"/>
          <w:szCs w:val="24"/>
        </w:rPr>
        <w:t xml:space="preserve"> para contribuir a salvaguardar la disponibilidad a largo plazo de las infraestructuras, los medios y los servicios espacial</w:t>
      </w:r>
      <w:r w:rsidR="000D390E" w:rsidRPr="008F486E">
        <w:rPr>
          <w:rFonts w:ascii="Arial" w:hAnsi="Arial" w:cs="Arial"/>
          <w:sz w:val="24"/>
          <w:szCs w:val="24"/>
        </w:rPr>
        <w:t xml:space="preserve">es europeos y nacionales cuyos objetivos específicos son principalmente evaluar y reducir los riesgos relacionados con el lanzamiento, colisión en órbita y reingreso a la Tierra de los objetos espaciales tanto operativos como inactivos y mitigar los posibles daños </w:t>
      </w:r>
      <w:r w:rsidR="000D390E" w:rsidRPr="008F486E">
        <w:rPr>
          <w:rFonts w:ascii="Arial" w:hAnsi="Arial" w:cs="Arial"/>
          <w:sz w:val="24"/>
          <w:szCs w:val="24"/>
        </w:rPr>
        <w:lastRenderedPageBreak/>
        <w:t>a las infraestructuras terrestres.</w:t>
      </w:r>
      <w:r w:rsidR="00D06600" w:rsidRPr="008F486E">
        <w:rPr>
          <w:rFonts w:ascii="Arial" w:hAnsi="Arial" w:cs="Arial"/>
          <w:sz w:val="24"/>
          <w:szCs w:val="24"/>
        </w:rPr>
        <w:t xml:space="preserve"> La prestación de servicios de la VSE beneficiará a todos los operadores de infraestructuras espaciales, tanto públicos como privados, entre los que se incluye la Unión y sus programas espaciales de radionavegación por satélite Galileo y EGNOS así </w:t>
      </w:r>
      <w:r w:rsidR="00795C1C" w:rsidRPr="008F486E">
        <w:rPr>
          <w:rFonts w:ascii="Arial" w:hAnsi="Arial" w:cs="Arial"/>
          <w:sz w:val="24"/>
          <w:szCs w:val="24"/>
        </w:rPr>
        <w:t xml:space="preserve">como por el programa </w:t>
      </w:r>
      <w:proofErr w:type="spellStart"/>
      <w:r w:rsidR="00795C1C" w:rsidRPr="008F486E">
        <w:rPr>
          <w:rFonts w:ascii="Arial" w:hAnsi="Arial" w:cs="Arial"/>
          <w:sz w:val="24"/>
          <w:szCs w:val="24"/>
        </w:rPr>
        <w:t>Copernicus</w:t>
      </w:r>
      <w:proofErr w:type="spellEnd"/>
      <w:r w:rsidR="00795C1C" w:rsidRPr="008F486E">
        <w:rPr>
          <w:rFonts w:ascii="Arial" w:hAnsi="Arial" w:cs="Arial"/>
          <w:sz w:val="24"/>
          <w:szCs w:val="24"/>
        </w:rPr>
        <w:t>.</w:t>
      </w:r>
      <w:r w:rsidR="00D06600" w:rsidRPr="008F486E">
        <w:rPr>
          <w:rFonts w:ascii="Arial" w:hAnsi="Arial" w:cs="Arial"/>
          <w:sz w:val="24"/>
          <w:szCs w:val="24"/>
        </w:rPr>
        <w:t xml:space="preserve"> Las alertas tempranas de reentradas incontroladas y la estimación del momento y de la zona de impacto también beneficiarán a las autoridades públicas nacionales responsables </w:t>
      </w:r>
      <w:r w:rsidR="00795C1C" w:rsidRPr="008F486E">
        <w:rPr>
          <w:rFonts w:ascii="Arial" w:hAnsi="Arial" w:cs="Arial"/>
          <w:sz w:val="24"/>
          <w:szCs w:val="24"/>
        </w:rPr>
        <w:t xml:space="preserve">de la protección civil y </w:t>
      </w:r>
      <w:r w:rsidR="00D06600" w:rsidRPr="008F486E">
        <w:rPr>
          <w:rFonts w:ascii="Arial" w:hAnsi="Arial" w:cs="Arial"/>
          <w:sz w:val="24"/>
          <w:szCs w:val="24"/>
        </w:rPr>
        <w:t xml:space="preserve">de interés para otros usuarios, como los aseguradores privados, para calcular las posibles responsabilidades derivadas de la colisión </w:t>
      </w:r>
      <w:r w:rsidR="00786BB1" w:rsidRPr="008F486E">
        <w:rPr>
          <w:rFonts w:ascii="Arial" w:hAnsi="Arial" w:cs="Arial"/>
          <w:sz w:val="24"/>
          <w:szCs w:val="24"/>
        </w:rPr>
        <w:t>de un satélite o partes componentes.</w:t>
      </w:r>
    </w:p>
    <w:p w:rsidR="00AD0F70" w:rsidRPr="008F486E" w:rsidRDefault="00946E90" w:rsidP="008F486E">
      <w:pPr>
        <w:spacing w:line="360" w:lineRule="auto"/>
        <w:ind w:firstLine="360"/>
        <w:jc w:val="both"/>
        <w:rPr>
          <w:rFonts w:ascii="Arial" w:hAnsi="Arial" w:cs="Arial"/>
          <w:sz w:val="24"/>
          <w:szCs w:val="24"/>
        </w:rPr>
      </w:pPr>
      <w:r w:rsidRPr="008F486E">
        <w:rPr>
          <w:rFonts w:ascii="Arial" w:hAnsi="Arial" w:cs="Arial"/>
          <w:sz w:val="24"/>
          <w:szCs w:val="24"/>
        </w:rPr>
        <w:t>El Parlamento Europeo</w:t>
      </w:r>
      <w:r w:rsidR="00300C87" w:rsidRPr="008F486E">
        <w:rPr>
          <w:rFonts w:ascii="Arial" w:hAnsi="Arial" w:cs="Arial"/>
          <w:sz w:val="24"/>
          <w:szCs w:val="24"/>
        </w:rPr>
        <w:t xml:space="preserve"> también</w:t>
      </w:r>
      <w:r w:rsidRPr="008F486E">
        <w:rPr>
          <w:rFonts w:ascii="Arial" w:hAnsi="Arial" w:cs="Arial"/>
          <w:sz w:val="24"/>
          <w:szCs w:val="24"/>
        </w:rPr>
        <w:t xml:space="preserve"> está preocupado por las ambiciones del sector privado en ámbitos como la minería espacial</w:t>
      </w:r>
      <w:r w:rsidR="00C50355" w:rsidRPr="008F486E">
        <w:rPr>
          <w:rStyle w:val="Refdenotaalpie"/>
          <w:rFonts w:ascii="Arial" w:hAnsi="Arial" w:cs="Arial"/>
          <w:sz w:val="24"/>
          <w:szCs w:val="24"/>
        </w:rPr>
        <w:footnoteReference w:id="67"/>
      </w:r>
      <w:r w:rsidRPr="008F486E">
        <w:rPr>
          <w:rFonts w:ascii="Arial" w:hAnsi="Arial" w:cs="Arial"/>
          <w:sz w:val="24"/>
          <w:szCs w:val="24"/>
        </w:rPr>
        <w:t xml:space="preserve">, que respetando los principios </w:t>
      </w:r>
      <w:r w:rsidR="00300C87" w:rsidRPr="008F486E">
        <w:rPr>
          <w:rFonts w:ascii="Arial" w:hAnsi="Arial" w:cs="Arial"/>
          <w:sz w:val="24"/>
          <w:szCs w:val="24"/>
        </w:rPr>
        <w:t>establecidos en el Tratado del E</w:t>
      </w:r>
      <w:r w:rsidRPr="008F486E">
        <w:rPr>
          <w:rFonts w:ascii="Arial" w:hAnsi="Arial" w:cs="Arial"/>
          <w:sz w:val="24"/>
          <w:szCs w:val="24"/>
        </w:rPr>
        <w:t>spacio de 1967 impidan una carrera espacial en pos de recursos agotables existentes en los cuerpos celestes.</w:t>
      </w:r>
      <w:r w:rsidR="00300C87" w:rsidRPr="008F486E">
        <w:rPr>
          <w:rFonts w:ascii="Arial" w:hAnsi="Arial" w:cs="Arial"/>
          <w:sz w:val="24"/>
          <w:szCs w:val="24"/>
        </w:rPr>
        <w:t xml:space="preserve"> </w:t>
      </w:r>
      <w:r w:rsidR="00654F59" w:rsidRPr="008F486E">
        <w:rPr>
          <w:rFonts w:ascii="Arial" w:hAnsi="Arial" w:cs="Arial"/>
          <w:sz w:val="24"/>
          <w:szCs w:val="24"/>
        </w:rPr>
        <w:t>El derecho internacional contempla la posibilidad de explotación de recursos en zonas no sometidas bajo la soberanía de ningún Estado, como los Fondos Marinos y Oceánicos y el Espacio ultraterrestre. Respecto a los cuerpos celestes, se permitirá la explotación de sus recursos de conformidad con el artículo I y II del Tratado del Espacio a través del otorgamiento de licencias previsto en el artículo VI del citado Tratado. La Ley de competitividad de los lanzamientos espaciales comerciales de 2015</w:t>
      </w:r>
      <w:r w:rsidR="00C15E39" w:rsidRPr="008F486E">
        <w:rPr>
          <w:rStyle w:val="Refdenotaalpie"/>
          <w:rFonts w:ascii="Arial" w:hAnsi="Arial" w:cs="Arial"/>
          <w:sz w:val="24"/>
          <w:szCs w:val="24"/>
        </w:rPr>
        <w:footnoteReference w:id="68"/>
      </w:r>
      <w:r w:rsidR="00654F59" w:rsidRPr="008F486E">
        <w:rPr>
          <w:rFonts w:ascii="Arial" w:hAnsi="Arial" w:cs="Arial"/>
          <w:sz w:val="24"/>
          <w:szCs w:val="24"/>
        </w:rPr>
        <w:t xml:space="preserve"> incluye, a su vez, una nueva norma</w:t>
      </w:r>
      <w:r w:rsidR="00C166AB" w:rsidRPr="008F486E">
        <w:rPr>
          <w:rFonts w:ascii="Arial" w:hAnsi="Arial" w:cs="Arial"/>
          <w:sz w:val="24"/>
          <w:szCs w:val="24"/>
        </w:rPr>
        <w:t>,</w:t>
      </w:r>
      <w:r w:rsidR="00654F59" w:rsidRPr="008F486E">
        <w:rPr>
          <w:rFonts w:ascii="Arial" w:hAnsi="Arial" w:cs="Arial"/>
          <w:sz w:val="24"/>
          <w:szCs w:val="24"/>
        </w:rPr>
        <w:t xml:space="preserve"> la denominada “Ley de exploración y utilización de los recursos espaciales” por la que se establece que los ciudadanos de los Estados Unidos de América podrán apropiarse de los recursos naturales que extraigan de los cuerpos celestes, como la Luna y los asteroides</w:t>
      </w:r>
      <w:r w:rsidR="00CD0E17" w:rsidRPr="008F486E">
        <w:rPr>
          <w:rFonts w:ascii="Arial" w:hAnsi="Arial" w:cs="Arial"/>
          <w:sz w:val="24"/>
          <w:szCs w:val="24"/>
        </w:rPr>
        <w:t>. En Luxemburgo, la “Ley de recursos espaciales”,</w:t>
      </w:r>
      <w:r w:rsidR="0006391D" w:rsidRPr="008F486E">
        <w:rPr>
          <w:rFonts w:ascii="Arial" w:hAnsi="Arial" w:cs="Arial"/>
          <w:sz w:val="24"/>
          <w:szCs w:val="24"/>
        </w:rPr>
        <w:t xml:space="preserve"> de 20 de julio de</w:t>
      </w:r>
      <w:r w:rsidR="00CD0E17" w:rsidRPr="008F486E">
        <w:rPr>
          <w:rFonts w:ascii="Arial" w:hAnsi="Arial" w:cs="Arial"/>
          <w:sz w:val="24"/>
          <w:szCs w:val="24"/>
        </w:rPr>
        <w:t xml:space="preserve"> 2017</w:t>
      </w:r>
      <w:r w:rsidR="00C15E39" w:rsidRPr="008F486E">
        <w:rPr>
          <w:rStyle w:val="Refdenotaalpie"/>
          <w:rFonts w:ascii="Arial" w:hAnsi="Arial" w:cs="Arial"/>
          <w:sz w:val="24"/>
          <w:szCs w:val="24"/>
        </w:rPr>
        <w:footnoteReference w:id="69"/>
      </w:r>
      <w:r w:rsidR="00CD0E17" w:rsidRPr="008F486E">
        <w:rPr>
          <w:rFonts w:ascii="Arial" w:hAnsi="Arial" w:cs="Arial"/>
          <w:sz w:val="24"/>
          <w:szCs w:val="24"/>
        </w:rPr>
        <w:t>,</w:t>
      </w:r>
      <w:r w:rsidR="00C15E39" w:rsidRPr="008F486E">
        <w:rPr>
          <w:rFonts w:ascii="Arial" w:hAnsi="Arial" w:cs="Arial"/>
          <w:sz w:val="24"/>
          <w:szCs w:val="24"/>
        </w:rPr>
        <w:t xml:space="preserve"> en vigor desde el 2 de agosto,</w:t>
      </w:r>
      <w:r w:rsidR="00CD0E17" w:rsidRPr="008F486E">
        <w:rPr>
          <w:rFonts w:ascii="Arial" w:hAnsi="Arial" w:cs="Arial"/>
          <w:sz w:val="24"/>
          <w:szCs w:val="24"/>
        </w:rPr>
        <w:t xml:space="preserve"> se presenta como un paso adelante en busca de opciones de negocio innovadoras, ya que se otorgarán autorizaciones a cualquier empresa o sociedad interesada en la utilización de recursos espaciales, siempre que esté registrada en Luxemburgo y cumpla con una serie de requisitos como : </w:t>
      </w:r>
      <w:r w:rsidR="00CD0E17" w:rsidRPr="008F486E">
        <w:rPr>
          <w:rFonts w:ascii="Arial" w:hAnsi="Arial" w:cs="Arial"/>
          <w:sz w:val="24"/>
          <w:szCs w:val="24"/>
        </w:rPr>
        <w:lastRenderedPageBreak/>
        <w:t>solvencia técnica y financiera, evaluación de riesgos, contratación de seguros, auditorias anuales, responsabilidad del operador por los daños causados (incluyendo los trabajos preparatorios a la misión), etc. Por su parte, el Grupo de Trabajo de la Haya</w:t>
      </w:r>
      <w:r w:rsidR="00AB78C6" w:rsidRPr="008F486E">
        <w:rPr>
          <w:rStyle w:val="Refdenotaalpie"/>
          <w:rFonts w:ascii="Arial" w:hAnsi="Arial" w:cs="Arial"/>
          <w:sz w:val="24"/>
          <w:szCs w:val="24"/>
        </w:rPr>
        <w:footnoteReference w:id="70"/>
      </w:r>
      <w:r w:rsidR="00CD0E17" w:rsidRPr="008F486E">
        <w:rPr>
          <w:rFonts w:ascii="Arial" w:hAnsi="Arial" w:cs="Arial"/>
          <w:sz w:val="24"/>
          <w:szCs w:val="24"/>
        </w:rPr>
        <w:t xml:space="preserve"> actualmente está trabajando en el desarrollo de un cuerpo internacional sobre actividades relacionadas con los recursos espaciales entre los que podríamos destacar: principios aplicables, la responsabilidad internacional, el acceso y la utilización de los recursos, evitar impactos perjudiciales, asistencia, tener debidamente en cuenta a todos los países y a la Humanidad en su conjunto y solución pacífica de controversias.</w:t>
      </w:r>
    </w:p>
    <w:p w:rsidR="00820B0B" w:rsidRPr="008F486E" w:rsidRDefault="00820B0B" w:rsidP="008F486E">
      <w:pPr>
        <w:spacing w:line="360" w:lineRule="auto"/>
        <w:ind w:firstLine="360"/>
        <w:jc w:val="both"/>
        <w:rPr>
          <w:rFonts w:ascii="Arial" w:hAnsi="Arial" w:cs="Arial"/>
          <w:sz w:val="24"/>
          <w:szCs w:val="24"/>
        </w:rPr>
      </w:pPr>
      <w:r w:rsidRPr="008F486E">
        <w:rPr>
          <w:rFonts w:ascii="Arial" w:hAnsi="Arial" w:cs="Arial"/>
          <w:sz w:val="24"/>
          <w:szCs w:val="24"/>
        </w:rPr>
        <w:t xml:space="preserve">A este respecto proponemos una serie de Parámetros que deberían incluirse en el futuro régimen internacional de explotación de </w:t>
      </w:r>
      <w:r w:rsidR="004A57D7" w:rsidRPr="008F486E">
        <w:rPr>
          <w:rFonts w:ascii="Arial" w:hAnsi="Arial" w:cs="Arial"/>
          <w:sz w:val="24"/>
          <w:szCs w:val="24"/>
        </w:rPr>
        <w:t>recursos espaciales</w:t>
      </w:r>
      <w:r w:rsidR="004A57D7" w:rsidRPr="008F486E">
        <w:rPr>
          <w:rStyle w:val="Refdenotaalpie"/>
          <w:rFonts w:ascii="Arial" w:hAnsi="Arial" w:cs="Arial"/>
          <w:sz w:val="24"/>
          <w:szCs w:val="24"/>
        </w:rPr>
        <w:footnoteReference w:id="71"/>
      </w:r>
      <w:r w:rsidRPr="008F486E">
        <w:rPr>
          <w:rFonts w:ascii="Arial" w:hAnsi="Arial" w:cs="Arial"/>
          <w:sz w:val="24"/>
          <w:szCs w:val="24"/>
        </w:rPr>
        <w:t>, de conformidad con el Tratado del Espacio de 1967:</w:t>
      </w:r>
      <w:r w:rsidR="00573DB0" w:rsidRPr="008F486E">
        <w:rPr>
          <w:rFonts w:ascii="Arial" w:hAnsi="Arial" w:cs="Arial"/>
          <w:sz w:val="24"/>
          <w:szCs w:val="24"/>
        </w:rPr>
        <w:t xml:space="preserve"> </w:t>
      </w:r>
      <w:r w:rsidRPr="008F486E">
        <w:rPr>
          <w:rFonts w:ascii="Arial" w:eastAsia="+mn-ea" w:hAnsi="Arial" w:cs="Arial"/>
          <w:color w:val="000000"/>
          <w:kern w:val="24"/>
          <w:sz w:val="24"/>
          <w:szCs w:val="24"/>
          <w:lang w:eastAsia="es-ES"/>
        </w:rPr>
        <w:t xml:space="preserve">La exploración, utilización y explotación del espacio ultraterrestre </w:t>
      </w:r>
      <w:r w:rsidRPr="008F486E">
        <w:rPr>
          <w:rFonts w:ascii="Arial" w:eastAsia="+mn-ea" w:hAnsi="Arial" w:cs="Arial"/>
          <w:bCs/>
          <w:iCs/>
          <w:color w:val="000000"/>
          <w:kern w:val="24"/>
          <w:sz w:val="24"/>
          <w:szCs w:val="24"/>
          <w:lang w:eastAsia="es-ES"/>
        </w:rPr>
        <w:t>incumbe a toda la humanidad</w:t>
      </w:r>
      <w:r w:rsidRPr="008F486E">
        <w:rPr>
          <w:rFonts w:ascii="Arial" w:eastAsia="+mn-ea" w:hAnsi="Arial" w:cs="Arial"/>
          <w:b/>
          <w:bCs/>
          <w:iCs/>
          <w:color w:val="000000"/>
          <w:kern w:val="24"/>
          <w:sz w:val="24"/>
          <w:szCs w:val="24"/>
          <w:lang w:eastAsia="es-ES"/>
        </w:rPr>
        <w:t xml:space="preserve"> </w:t>
      </w:r>
      <w:r w:rsidRPr="008F486E">
        <w:rPr>
          <w:rFonts w:ascii="Arial" w:eastAsia="+mn-ea" w:hAnsi="Arial" w:cs="Arial"/>
          <w:color w:val="000000"/>
          <w:kern w:val="24"/>
          <w:sz w:val="24"/>
          <w:szCs w:val="24"/>
          <w:lang w:eastAsia="es-ES"/>
        </w:rPr>
        <w:t>(se omite la referencia al Patrimonio Común de la Humanidad hasta que no haya una definición comúnmente admitida).</w:t>
      </w:r>
      <w:r w:rsidR="00573DB0" w:rsidRPr="008F486E">
        <w:rPr>
          <w:rFonts w:ascii="Arial" w:hAnsi="Arial" w:cs="Arial"/>
          <w:sz w:val="24"/>
          <w:szCs w:val="24"/>
        </w:rPr>
        <w:t xml:space="preserve"> </w:t>
      </w:r>
      <w:r w:rsidRPr="008F486E">
        <w:rPr>
          <w:rFonts w:ascii="Arial" w:eastAsia="+mn-ea" w:hAnsi="Arial" w:cs="Arial"/>
          <w:color w:val="000000"/>
          <w:kern w:val="24"/>
          <w:sz w:val="24"/>
          <w:szCs w:val="24"/>
          <w:lang w:eastAsia="es-ES"/>
        </w:rPr>
        <w:t xml:space="preserve">El espacio ultraterrestre y los cuerpos celestes podrán ser </w:t>
      </w:r>
      <w:r w:rsidRPr="008F486E">
        <w:rPr>
          <w:rFonts w:ascii="Arial" w:eastAsia="+mn-ea" w:hAnsi="Arial" w:cs="Arial"/>
          <w:bCs/>
          <w:iCs/>
          <w:color w:val="000000"/>
          <w:kern w:val="24"/>
          <w:sz w:val="24"/>
          <w:szCs w:val="24"/>
          <w:lang w:eastAsia="es-ES"/>
        </w:rPr>
        <w:t>libremente explorados, utilizados y explotados</w:t>
      </w:r>
      <w:r w:rsidRPr="008F486E">
        <w:rPr>
          <w:rFonts w:ascii="Arial" w:eastAsia="+mn-ea" w:hAnsi="Arial" w:cs="Arial"/>
          <w:b/>
          <w:bCs/>
          <w:iCs/>
          <w:color w:val="000000"/>
          <w:kern w:val="24"/>
          <w:sz w:val="24"/>
          <w:szCs w:val="24"/>
          <w:lang w:eastAsia="es-ES"/>
        </w:rPr>
        <w:t xml:space="preserve"> </w:t>
      </w:r>
      <w:r w:rsidRPr="008F486E">
        <w:rPr>
          <w:rFonts w:ascii="Arial" w:eastAsia="+mn-ea" w:hAnsi="Arial" w:cs="Arial"/>
          <w:color w:val="000000"/>
          <w:kern w:val="24"/>
          <w:sz w:val="24"/>
          <w:szCs w:val="24"/>
          <w:lang w:eastAsia="es-ES"/>
        </w:rPr>
        <w:t xml:space="preserve">por todos los Estados, en </w:t>
      </w:r>
      <w:r w:rsidRPr="008F486E">
        <w:rPr>
          <w:rFonts w:ascii="Arial" w:eastAsia="+mn-ea" w:hAnsi="Arial" w:cs="Arial"/>
          <w:iCs/>
          <w:color w:val="000000"/>
          <w:kern w:val="24"/>
          <w:sz w:val="24"/>
          <w:szCs w:val="24"/>
          <w:lang w:eastAsia="es-ES"/>
        </w:rPr>
        <w:t>condiciones de igualdad y de conformidad con el derecho internacional</w:t>
      </w:r>
      <w:r w:rsidRPr="008F486E">
        <w:rPr>
          <w:rFonts w:ascii="Arial" w:eastAsia="+mn-ea" w:hAnsi="Arial" w:cs="Arial"/>
          <w:color w:val="000000"/>
          <w:kern w:val="24"/>
          <w:sz w:val="24"/>
          <w:szCs w:val="24"/>
          <w:lang w:eastAsia="es-ES"/>
        </w:rPr>
        <w:t>.</w:t>
      </w:r>
      <w:r w:rsidR="00573DB0" w:rsidRPr="008F486E">
        <w:rPr>
          <w:rFonts w:ascii="Arial" w:hAnsi="Arial" w:cs="Arial"/>
          <w:sz w:val="24"/>
          <w:szCs w:val="24"/>
        </w:rPr>
        <w:t xml:space="preserve"> </w:t>
      </w:r>
      <w:r w:rsidRPr="008F486E">
        <w:rPr>
          <w:rFonts w:ascii="Arial" w:eastAsia="+mn-ea" w:hAnsi="Arial" w:cs="Arial"/>
          <w:color w:val="000000"/>
          <w:kern w:val="24"/>
          <w:sz w:val="24"/>
          <w:szCs w:val="24"/>
          <w:lang w:eastAsia="es-ES"/>
        </w:rPr>
        <w:t xml:space="preserve">Ni el espacio ultraterrestre ni la superficie o </w:t>
      </w:r>
      <w:proofErr w:type="spellStart"/>
      <w:r w:rsidRPr="008F486E">
        <w:rPr>
          <w:rFonts w:ascii="Arial" w:eastAsia="+mn-ea" w:hAnsi="Arial" w:cs="Arial"/>
          <w:color w:val="000000"/>
          <w:kern w:val="24"/>
          <w:sz w:val="24"/>
          <w:szCs w:val="24"/>
          <w:lang w:eastAsia="es-ES"/>
        </w:rPr>
        <w:t>subsuperficie</w:t>
      </w:r>
      <w:proofErr w:type="spellEnd"/>
      <w:r w:rsidRPr="008F486E">
        <w:rPr>
          <w:rFonts w:ascii="Arial" w:eastAsia="+mn-ea" w:hAnsi="Arial" w:cs="Arial"/>
          <w:color w:val="000000"/>
          <w:kern w:val="24"/>
          <w:sz w:val="24"/>
          <w:szCs w:val="24"/>
          <w:lang w:eastAsia="es-ES"/>
        </w:rPr>
        <w:t xml:space="preserve"> de los cuerpos celestes, ni las órbitas alrededor de aquellos u otras trayectorias dirigidas hacia ellos o que les rodeen, podrán, sin excepción, ser </w:t>
      </w:r>
      <w:r w:rsidRPr="008F486E">
        <w:rPr>
          <w:rFonts w:ascii="Arial" w:eastAsia="+mn-ea" w:hAnsi="Arial" w:cs="Arial"/>
          <w:bCs/>
          <w:iCs/>
          <w:color w:val="000000"/>
          <w:kern w:val="24"/>
          <w:sz w:val="24"/>
          <w:szCs w:val="24"/>
          <w:lang w:eastAsia="es-ES"/>
        </w:rPr>
        <w:t>propiedad de ningún Estado, organización i</w:t>
      </w:r>
      <w:r w:rsidR="00573DB0" w:rsidRPr="008F486E">
        <w:rPr>
          <w:rFonts w:ascii="Arial" w:eastAsia="+mn-ea" w:hAnsi="Arial" w:cs="Arial"/>
          <w:bCs/>
          <w:iCs/>
          <w:color w:val="000000"/>
          <w:kern w:val="24"/>
          <w:sz w:val="24"/>
          <w:szCs w:val="24"/>
          <w:lang w:eastAsia="es-ES"/>
        </w:rPr>
        <w:t>nternacional intergubernamental</w:t>
      </w:r>
      <w:r w:rsidRPr="008F486E">
        <w:rPr>
          <w:rFonts w:ascii="Arial" w:eastAsia="+mn-ea" w:hAnsi="Arial" w:cs="Arial"/>
          <w:bCs/>
          <w:iCs/>
          <w:color w:val="000000"/>
          <w:kern w:val="24"/>
          <w:sz w:val="24"/>
          <w:szCs w:val="24"/>
          <w:lang w:eastAsia="es-ES"/>
        </w:rPr>
        <w:t>, entidad no gubernamental, ni de ninguna persona física.</w:t>
      </w:r>
      <w:r w:rsidR="00573DB0" w:rsidRPr="008F486E">
        <w:rPr>
          <w:rFonts w:ascii="Arial" w:hAnsi="Arial" w:cs="Arial"/>
          <w:sz w:val="24"/>
          <w:szCs w:val="24"/>
        </w:rPr>
        <w:t xml:space="preserve"> </w:t>
      </w:r>
      <w:r w:rsidRPr="008F486E">
        <w:rPr>
          <w:rFonts w:ascii="Arial" w:eastAsia="+mn-ea" w:hAnsi="Arial" w:cs="Arial"/>
          <w:color w:val="000000"/>
          <w:kern w:val="24"/>
          <w:sz w:val="24"/>
          <w:szCs w:val="24"/>
          <w:lang w:eastAsia="es-ES"/>
        </w:rPr>
        <w:t xml:space="preserve">Sin embargo, sí se permitirá la explotación de </w:t>
      </w:r>
      <w:r w:rsidRPr="008F486E">
        <w:rPr>
          <w:rFonts w:ascii="Arial" w:eastAsia="+mn-ea" w:hAnsi="Arial" w:cs="Arial"/>
          <w:bCs/>
          <w:iCs/>
          <w:color w:val="000000"/>
          <w:kern w:val="24"/>
          <w:sz w:val="24"/>
          <w:szCs w:val="24"/>
          <w:lang w:eastAsia="es-ES"/>
        </w:rPr>
        <w:t>recursos celestes y la propiedad de éstos, una vez extraídos</w:t>
      </w:r>
      <w:r w:rsidRPr="008F486E">
        <w:rPr>
          <w:rFonts w:ascii="Arial" w:eastAsia="+mn-ea" w:hAnsi="Arial" w:cs="Arial"/>
          <w:color w:val="000000"/>
          <w:kern w:val="24"/>
          <w:sz w:val="24"/>
          <w:szCs w:val="24"/>
          <w:lang w:eastAsia="es-ES"/>
        </w:rPr>
        <w:t xml:space="preserve">, de conformidad con el Tratado del Espacio de </w:t>
      </w:r>
      <w:r w:rsidRPr="008F486E">
        <w:rPr>
          <w:rFonts w:ascii="Arial" w:eastAsia="+mn-ea" w:hAnsi="Arial" w:cs="Arial"/>
          <w:color w:val="000000"/>
          <w:kern w:val="24"/>
          <w:sz w:val="24"/>
          <w:szCs w:val="24"/>
          <w:lang w:eastAsia="es-ES"/>
        </w:rPr>
        <w:lastRenderedPageBreak/>
        <w:t>1967 y/o con el Régimen Internacional ad hoc que pudiera establecerse. Dicha explotación no deberá crear un obstáculo capaz de perjudicar las actividades de exploración, utilización y explotación del espacio ultraterrestre y los cuerpos celestes llevada a cabo por terceros.</w:t>
      </w:r>
      <w:r w:rsidR="00573DB0" w:rsidRPr="008F486E">
        <w:rPr>
          <w:rFonts w:ascii="Arial" w:hAnsi="Arial" w:cs="Arial"/>
          <w:sz w:val="24"/>
          <w:szCs w:val="24"/>
        </w:rPr>
        <w:t xml:space="preserve"> </w:t>
      </w:r>
      <w:r w:rsidRPr="008F486E">
        <w:rPr>
          <w:rFonts w:ascii="Arial" w:eastAsia="+mn-ea" w:hAnsi="Arial" w:cs="Arial"/>
          <w:color w:val="000000"/>
          <w:kern w:val="24"/>
          <w:sz w:val="24"/>
          <w:szCs w:val="24"/>
          <w:lang w:eastAsia="es-ES"/>
        </w:rPr>
        <w:t xml:space="preserve">Se podrán establecer en los cuerpos celestes estaciones habitadas o inhabitadas, lo que no supondrá la apropiación del suelo y subsuelo celeste. Para establecer una estación o instalación celeste, se utilizará únicamente el </w:t>
      </w:r>
      <w:r w:rsidRPr="008F486E">
        <w:rPr>
          <w:rFonts w:ascii="Arial" w:eastAsia="+mn-ea" w:hAnsi="Arial" w:cs="Arial"/>
          <w:bCs/>
          <w:iCs/>
          <w:color w:val="000000"/>
          <w:kern w:val="24"/>
          <w:sz w:val="24"/>
          <w:szCs w:val="24"/>
          <w:lang w:eastAsia="es-ES"/>
        </w:rPr>
        <w:t>área que sea precisa</w:t>
      </w:r>
      <w:r w:rsidRPr="008F486E">
        <w:rPr>
          <w:rFonts w:ascii="Arial" w:eastAsia="+mn-ea" w:hAnsi="Arial" w:cs="Arial"/>
          <w:b/>
          <w:bCs/>
          <w:iCs/>
          <w:color w:val="000000"/>
          <w:kern w:val="24"/>
          <w:sz w:val="24"/>
          <w:szCs w:val="24"/>
          <w:lang w:eastAsia="es-ES"/>
        </w:rPr>
        <w:t xml:space="preserve"> </w:t>
      </w:r>
      <w:r w:rsidRPr="008F486E">
        <w:rPr>
          <w:rFonts w:ascii="Arial" w:eastAsia="+mn-ea" w:hAnsi="Arial" w:cs="Arial"/>
          <w:color w:val="000000"/>
          <w:kern w:val="24"/>
          <w:sz w:val="24"/>
          <w:szCs w:val="24"/>
          <w:lang w:eastAsia="es-ES"/>
        </w:rPr>
        <w:t>para las necesidades de la estación, notificando anualmente, y desde la fecha de su establecimiento, al Secretario General de las Naciones Unidas y a la Agencia Internacional de Explotación de Recursos Celestes (si se estableciera), el área ocupada, su finalidad y las operaciones de extracción de recursos naturales</w:t>
      </w:r>
      <w:r w:rsidR="00612173" w:rsidRPr="008F486E">
        <w:rPr>
          <w:rFonts w:ascii="Arial" w:eastAsia="+mn-ea" w:hAnsi="Arial" w:cs="Arial"/>
          <w:color w:val="000000"/>
          <w:kern w:val="24"/>
          <w:sz w:val="24"/>
          <w:szCs w:val="24"/>
          <w:lang w:eastAsia="es-ES"/>
        </w:rPr>
        <w:t>, si las hubiere</w:t>
      </w:r>
      <w:r w:rsidRPr="008F486E">
        <w:rPr>
          <w:rFonts w:ascii="Arial" w:eastAsia="+mn-ea" w:hAnsi="Arial" w:cs="Arial"/>
          <w:color w:val="000000"/>
          <w:kern w:val="24"/>
          <w:sz w:val="24"/>
          <w:szCs w:val="24"/>
          <w:lang w:eastAsia="es-ES"/>
        </w:rPr>
        <w:t xml:space="preserve">. Esto no impedirá el establecimiento de </w:t>
      </w:r>
      <w:r w:rsidRPr="008F486E">
        <w:rPr>
          <w:rFonts w:ascii="Arial" w:eastAsia="+mn-ea" w:hAnsi="Arial" w:cs="Arial"/>
          <w:bCs/>
          <w:iCs/>
          <w:color w:val="000000"/>
          <w:kern w:val="24"/>
          <w:sz w:val="24"/>
          <w:szCs w:val="24"/>
          <w:lang w:eastAsia="es-ES"/>
        </w:rPr>
        <w:t>zonas de seguridad</w:t>
      </w:r>
      <w:r w:rsidRPr="008F486E">
        <w:rPr>
          <w:rFonts w:ascii="Arial" w:eastAsia="+mn-ea" w:hAnsi="Arial" w:cs="Arial"/>
          <w:b/>
          <w:bCs/>
          <w:iCs/>
          <w:color w:val="000000"/>
          <w:kern w:val="24"/>
          <w:sz w:val="24"/>
          <w:szCs w:val="24"/>
          <w:lang w:eastAsia="es-ES"/>
        </w:rPr>
        <w:t xml:space="preserve"> </w:t>
      </w:r>
      <w:r w:rsidRPr="008F486E">
        <w:rPr>
          <w:rFonts w:ascii="Arial" w:eastAsia="+mn-ea" w:hAnsi="Arial" w:cs="Arial"/>
          <w:color w:val="000000"/>
          <w:kern w:val="24"/>
          <w:sz w:val="24"/>
          <w:szCs w:val="24"/>
          <w:lang w:eastAsia="es-ES"/>
        </w:rPr>
        <w:t>destinadas a proteger personas y cosas</w:t>
      </w:r>
      <w:r w:rsidR="00573DB0" w:rsidRPr="008F486E">
        <w:rPr>
          <w:rFonts w:ascii="Arial" w:eastAsia="+mn-ea" w:hAnsi="Arial" w:cs="Arial"/>
          <w:color w:val="000000"/>
          <w:kern w:val="24"/>
          <w:sz w:val="24"/>
          <w:szCs w:val="24"/>
          <w:lang w:eastAsia="es-ES"/>
        </w:rPr>
        <w:t xml:space="preserve"> así como zonas declaradas de interés científico</w:t>
      </w:r>
      <w:r w:rsidRPr="008F486E">
        <w:rPr>
          <w:rFonts w:ascii="Arial" w:eastAsia="+mn-ea" w:hAnsi="Arial" w:cs="Arial"/>
          <w:color w:val="000000"/>
          <w:kern w:val="24"/>
          <w:sz w:val="24"/>
          <w:szCs w:val="24"/>
          <w:lang w:eastAsia="es-ES"/>
        </w:rPr>
        <w:t>.</w:t>
      </w:r>
      <w:r w:rsidR="00573DB0" w:rsidRPr="008F486E">
        <w:rPr>
          <w:rFonts w:ascii="Arial" w:hAnsi="Arial" w:cs="Arial"/>
          <w:sz w:val="24"/>
          <w:szCs w:val="24"/>
        </w:rPr>
        <w:t xml:space="preserve"> </w:t>
      </w:r>
      <w:r w:rsidR="00573DB0" w:rsidRPr="008F486E">
        <w:rPr>
          <w:rFonts w:ascii="Arial" w:eastAsia="+mn-ea" w:hAnsi="Arial" w:cs="Arial"/>
          <w:color w:val="000000"/>
          <w:kern w:val="24"/>
          <w:sz w:val="24"/>
          <w:szCs w:val="24"/>
          <w:lang w:eastAsia="es-ES"/>
        </w:rPr>
        <w:t>Deberán tomarse las medidas necesarias para que la exploración, utilización y explotación de los cuerpos celestes no perturbe el actual equilibrio de su medio, bien por modificaciones nocivas, bien p</w:t>
      </w:r>
      <w:r w:rsidR="004A57D7" w:rsidRPr="008F486E">
        <w:rPr>
          <w:rFonts w:ascii="Arial" w:eastAsia="+mn-ea" w:hAnsi="Arial" w:cs="Arial"/>
          <w:color w:val="000000"/>
          <w:kern w:val="24"/>
          <w:sz w:val="24"/>
          <w:szCs w:val="24"/>
          <w:lang w:eastAsia="es-ES"/>
        </w:rPr>
        <w:t>or su contaminación perjudicial y se prohibirá la colocación de cualquier tipo de arma en los cuerpos celestes y cualquier tipo de maniobra militar. Por último, Los Estados serán responsables internacionalmente de las actividades nacionales que realicen en el espacio ultraterrestre los organismos gubernamentales, las entidades no gubernamentales y las personas físicas debiendo, las dos últimas, ser autorizadas (mediante licencias y autorizaciones) y fiscalizadas por el pertinente Estado parte interesado. En las licencias o autorizaciones se exigiría la contratación de un seguro obligatorio respecto de entidades no gubernamentales.</w:t>
      </w:r>
    </w:p>
    <w:p w:rsidR="00F96A93" w:rsidRPr="008F486E" w:rsidRDefault="00F96A93" w:rsidP="008F486E">
      <w:pPr>
        <w:spacing w:line="360" w:lineRule="auto"/>
        <w:ind w:firstLine="360"/>
        <w:jc w:val="both"/>
        <w:rPr>
          <w:rFonts w:ascii="Arial" w:hAnsi="Arial" w:cs="Arial"/>
          <w:i/>
          <w:sz w:val="24"/>
          <w:szCs w:val="24"/>
        </w:rPr>
      </w:pPr>
    </w:p>
    <w:p w:rsidR="00963FF3" w:rsidRPr="008F486E" w:rsidRDefault="00963FF3" w:rsidP="008F486E">
      <w:pPr>
        <w:pStyle w:val="Prrafodelista"/>
        <w:numPr>
          <w:ilvl w:val="0"/>
          <w:numId w:val="39"/>
        </w:numPr>
        <w:spacing w:line="360" w:lineRule="auto"/>
        <w:jc w:val="both"/>
        <w:rPr>
          <w:rFonts w:ascii="Arial" w:hAnsi="Arial" w:cs="Arial"/>
          <w:b/>
          <w:i/>
          <w:sz w:val="24"/>
          <w:szCs w:val="24"/>
        </w:rPr>
      </w:pPr>
      <w:r w:rsidRPr="008F486E">
        <w:rPr>
          <w:rFonts w:ascii="Arial" w:hAnsi="Arial" w:cs="Arial"/>
          <w:b/>
          <w:i/>
          <w:sz w:val="24"/>
          <w:szCs w:val="24"/>
        </w:rPr>
        <w:t>Beneficios para la sociedad y la economía de la Unión</w:t>
      </w:r>
    </w:p>
    <w:p w:rsidR="00963FF3" w:rsidRPr="008F486E" w:rsidRDefault="00EA1450" w:rsidP="008F486E">
      <w:pPr>
        <w:spacing w:line="360" w:lineRule="auto"/>
        <w:ind w:firstLine="360"/>
        <w:jc w:val="both"/>
        <w:rPr>
          <w:rFonts w:ascii="Arial" w:hAnsi="Arial" w:cs="Arial"/>
          <w:sz w:val="24"/>
          <w:szCs w:val="24"/>
        </w:rPr>
      </w:pPr>
      <w:r w:rsidRPr="008F486E">
        <w:rPr>
          <w:rFonts w:ascii="Arial" w:hAnsi="Arial" w:cs="Arial"/>
          <w:sz w:val="24"/>
          <w:szCs w:val="24"/>
        </w:rPr>
        <w:t>L</w:t>
      </w:r>
      <w:r w:rsidR="00E86CDB" w:rsidRPr="008F486E">
        <w:rPr>
          <w:rFonts w:ascii="Arial" w:hAnsi="Arial" w:cs="Arial"/>
          <w:sz w:val="24"/>
          <w:szCs w:val="24"/>
        </w:rPr>
        <w:t>a ciencia y la tecnología espaciales</w:t>
      </w:r>
      <w:r w:rsidRPr="008F486E">
        <w:rPr>
          <w:rFonts w:ascii="Arial" w:hAnsi="Arial" w:cs="Arial"/>
          <w:sz w:val="24"/>
          <w:szCs w:val="24"/>
        </w:rPr>
        <w:t>,</w:t>
      </w:r>
      <w:r w:rsidR="00E86CDB" w:rsidRPr="008F486E">
        <w:rPr>
          <w:rFonts w:ascii="Arial" w:hAnsi="Arial" w:cs="Arial"/>
          <w:sz w:val="24"/>
          <w:szCs w:val="24"/>
        </w:rPr>
        <w:t xml:space="preserve"> y sus </w:t>
      </w:r>
      <w:r w:rsidRPr="008F486E">
        <w:rPr>
          <w:rFonts w:ascii="Arial" w:hAnsi="Arial" w:cs="Arial"/>
          <w:sz w:val="24"/>
          <w:szCs w:val="24"/>
        </w:rPr>
        <w:t>aplicaciones, tienen</w:t>
      </w:r>
      <w:r w:rsidR="00E86CDB" w:rsidRPr="008F486E">
        <w:rPr>
          <w:rFonts w:ascii="Arial" w:hAnsi="Arial" w:cs="Arial"/>
          <w:sz w:val="24"/>
          <w:szCs w:val="24"/>
        </w:rPr>
        <w:t xml:space="preserve"> el inmenso potencial de reportar beneficios a países desarrollados y en desarrollo, en ámbitos como la agricultura y la seguridad alimentaria, la adaptación al cambio climático y su mitigación, la gestión en casos de desastre y la respuesta de emergencia, la educación, el medio ambiente y los recursos naturales, la navegación, el desarrollo de los asentamientos humanos, la asistencia </w:t>
      </w:r>
      <w:r w:rsidR="00E86CDB" w:rsidRPr="008F486E">
        <w:rPr>
          <w:rFonts w:ascii="Arial" w:hAnsi="Arial" w:cs="Arial"/>
          <w:sz w:val="24"/>
          <w:szCs w:val="24"/>
        </w:rPr>
        <w:lastRenderedPageBreak/>
        <w:t>humanitaria, la meteorología, la salud mundial, las comunicaciones, el abastecimiento de agua, y el trans</w:t>
      </w:r>
      <w:r w:rsidRPr="008F486E">
        <w:rPr>
          <w:rFonts w:ascii="Arial" w:hAnsi="Arial" w:cs="Arial"/>
          <w:sz w:val="24"/>
          <w:szCs w:val="24"/>
        </w:rPr>
        <w:t>porte; además, son</w:t>
      </w:r>
      <w:r w:rsidR="00E86CDB" w:rsidRPr="008F486E">
        <w:rPr>
          <w:rFonts w:ascii="Arial" w:hAnsi="Arial" w:cs="Arial"/>
          <w:sz w:val="24"/>
          <w:szCs w:val="24"/>
        </w:rPr>
        <w:t xml:space="preserve"> importantes elementos facilitadores del desarrollo económico, social y cu</w:t>
      </w:r>
      <w:r w:rsidR="00190C9C" w:rsidRPr="008F486E">
        <w:rPr>
          <w:rFonts w:ascii="Arial" w:hAnsi="Arial" w:cs="Arial"/>
          <w:sz w:val="24"/>
          <w:szCs w:val="24"/>
        </w:rPr>
        <w:t>ltural y contribuirá</w:t>
      </w:r>
      <w:r w:rsidR="00E86CDB" w:rsidRPr="008F486E">
        <w:rPr>
          <w:rFonts w:ascii="Arial" w:hAnsi="Arial" w:cs="Arial"/>
          <w:sz w:val="24"/>
          <w:szCs w:val="24"/>
        </w:rPr>
        <w:t>n a la erradicación de la pobreza</w:t>
      </w:r>
      <w:r w:rsidRPr="008F486E">
        <w:rPr>
          <w:rStyle w:val="Refdenotaalpie"/>
          <w:rFonts w:ascii="Arial" w:hAnsi="Arial" w:cs="Arial"/>
          <w:sz w:val="24"/>
          <w:szCs w:val="24"/>
        </w:rPr>
        <w:footnoteReference w:id="72"/>
      </w:r>
      <w:r w:rsidR="004A647E" w:rsidRPr="008F486E">
        <w:rPr>
          <w:rFonts w:ascii="Arial" w:hAnsi="Arial" w:cs="Arial"/>
          <w:sz w:val="24"/>
          <w:szCs w:val="24"/>
        </w:rPr>
        <w:t>.</w:t>
      </w:r>
    </w:p>
    <w:p w:rsidR="003F3268" w:rsidRPr="008F486E" w:rsidRDefault="00190C9C"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Es importante destacar, a este respecto, el </w:t>
      </w:r>
      <w:r w:rsidRPr="008F486E">
        <w:rPr>
          <w:rFonts w:ascii="Arial" w:hAnsi="Arial" w:cs="Arial"/>
          <w:i/>
          <w:sz w:val="24"/>
          <w:szCs w:val="24"/>
        </w:rPr>
        <w:t>Acuerdo Marco entre la Comunidad Europea y la Agencia Espacial Europea</w:t>
      </w:r>
      <w:r w:rsidRPr="008F486E">
        <w:rPr>
          <w:rFonts w:ascii="Arial" w:hAnsi="Arial" w:cs="Arial"/>
          <w:sz w:val="24"/>
          <w:szCs w:val="24"/>
        </w:rPr>
        <w:t>, de 25 de noviembre de 2003</w:t>
      </w:r>
      <w:r w:rsidRPr="008F486E">
        <w:rPr>
          <w:rStyle w:val="Refdenotaalpie"/>
          <w:rFonts w:ascii="Arial" w:hAnsi="Arial" w:cs="Arial"/>
          <w:sz w:val="24"/>
          <w:szCs w:val="24"/>
        </w:rPr>
        <w:footnoteReference w:id="73"/>
      </w:r>
      <w:r w:rsidRPr="008F486E">
        <w:rPr>
          <w:rFonts w:ascii="Arial" w:hAnsi="Arial" w:cs="Arial"/>
          <w:sz w:val="24"/>
          <w:szCs w:val="24"/>
        </w:rPr>
        <w:t xml:space="preserve">, mediante el cual se establece una colaboración más estrecha con el fin de desarrollar el uso pacífico del espacio ultraterrestre en aras de la cohesión y crecimiento económico en Europa y de integrar </w:t>
      </w:r>
      <w:r w:rsidR="001F2FD3" w:rsidRPr="008F486E">
        <w:rPr>
          <w:rFonts w:ascii="Arial" w:hAnsi="Arial" w:cs="Arial"/>
          <w:sz w:val="24"/>
          <w:szCs w:val="24"/>
        </w:rPr>
        <w:t>las actividades espaciales en un</w:t>
      </w:r>
      <w:r w:rsidRPr="008F486E">
        <w:rPr>
          <w:rFonts w:ascii="Arial" w:hAnsi="Arial" w:cs="Arial"/>
          <w:sz w:val="24"/>
          <w:szCs w:val="24"/>
        </w:rPr>
        <w:t xml:space="preserve"> marco político, económico, científico, medioambiental y social más amplio, de forma que estén</w:t>
      </w:r>
      <w:r w:rsidR="00AF5950" w:rsidRPr="008F486E">
        <w:rPr>
          <w:rFonts w:ascii="Arial" w:hAnsi="Arial" w:cs="Arial"/>
          <w:sz w:val="24"/>
          <w:szCs w:val="24"/>
        </w:rPr>
        <w:t xml:space="preserve"> mayormente</w:t>
      </w:r>
      <w:r w:rsidR="009353E7" w:rsidRPr="008F486E">
        <w:rPr>
          <w:rFonts w:ascii="Arial" w:hAnsi="Arial" w:cs="Arial"/>
          <w:sz w:val="24"/>
          <w:szCs w:val="24"/>
        </w:rPr>
        <w:t xml:space="preserve"> disponibles</w:t>
      </w:r>
      <w:r w:rsidRPr="008F486E">
        <w:rPr>
          <w:rFonts w:ascii="Arial" w:hAnsi="Arial" w:cs="Arial"/>
          <w:sz w:val="24"/>
          <w:szCs w:val="24"/>
        </w:rPr>
        <w:t xml:space="preserve"> al servicio del ciudadano</w:t>
      </w:r>
      <w:r w:rsidR="009353E7" w:rsidRPr="008F486E">
        <w:rPr>
          <w:rFonts w:ascii="Arial" w:hAnsi="Arial" w:cs="Arial"/>
          <w:sz w:val="24"/>
          <w:szCs w:val="24"/>
        </w:rPr>
        <w:t>, evitando así, la innecesaria duplicación de esfuerzos. Esta asociación estratégica pondrá en contacto la demanda de servicios y de aplicaciones que utilicen sistemas espaciales en apoyo a las políticas comunitarias con la oferta de sistemas y de infraestructuras espaciales necesarias para satisfacer dicha demanda. Las Partes convinieron en establecer los siguientes ámbitos de cooperación, lo q</w:t>
      </w:r>
      <w:r w:rsidR="003B0D42" w:rsidRPr="008F486E">
        <w:rPr>
          <w:rFonts w:ascii="Arial" w:hAnsi="Arial" w:cs="Arial"/>
          <w:sz w:val="24"/>
          <w:szCs w:val="24"/>
        </w:rPr>
        <w:t xml:space="preserve">ue no supone un numerus clausus: </w:t>
      </w:r>
      <w:r w:rsidR="009353E7" w:rsidRPr="008F486E">
        <w:rPr>
          <w:rFonts w:ascii="Arial" w:hAnsi="Arial" w:cs="Arial"/>
          <w:sz w:val="24"/>
          <w:szCs w:val="24"/>
        </w:rPr>
        <w:t xml:space="preserve">ciencia, tecnología, observación de la Tierra, navegación, comunicación por satélite, viajes espaciales tripulados y </w:t>
      </w:r>
      <w:proofErr w:type="spellStart"/>
      <w:r w:rsidR="009353E7" w:rsidRPr="008F486E">
        <w:rPr>
          <w:rFonts w:ascii="Arial" w:hAnsi="Arial" w:cs="Arial"/>
          <w:sz w:val="24"/>
          <w:szCs w:val="24"/>
        </w:rPr>
        <w:t>microgravedad</w:t>
      </w:r>
      <w:proofErr w:type="spellEnd"/>
      <w:r w:rsidR="009353E7" w:rsidRPr="008F486E">
        <w:rPr>
          <w:rFonts w:ascii="Arial" w:hAnsi="Arial" w:cs="Arial"/>
          <w:sz w:val="24"/>
          <w:szCs w:val="24"/>
        </w:rPr>
        <w:t>, lanzaderas y política de asignación del espectro en función del espacio.</w:t>
      </w:r>
      <w:r w:rsidR="003B0D42" w:rsidRPr="008F486E">
        <w:rPr>
          <w:rFonts w:ascii="Arial" w:hAnsi="Arial" w:cs="Arial"/>
          <w:sz w:val="24"/>
          <w:szCs w:val="24"/>
        </w:rPr>
        <w:t xml:space="preserve"> Las Partes se mantendrán mutuamente informadas cuando emprendan actividades de carácter internacional. </w:t>
      </w:r>
      <w:r w:rsidR="009B01A8" w:rsidRPr="008F486E">
        <w:rPr>
          <w:rFonts w:ascii="Arial" w:hAnsi="Arial" w:cs="Arial"/>
          <w:sz w:val="24"/>
          <w:szCs w:val="24"/>
        </w:rPr>
        <w:t>El 26 de octubre de 2016, la Unión Europea y la Agencia espacial Europea firmaron una Declaración conjunta sobre la gobernanza del espacio europeo con el fin de alcanzar una mayor eficacia y rentabilidad en el reparto de sus respectivas responsabilidades.</w:t>
      </w:r>
    </w:p>
    <w:p w:rsidR="003F3268" w:rsidRPr="008F486E" w:rsidRDefault="003F3268" w:rsidP="008F486E">
      <w:pPr>
        <w:spacing w:line="360" w:lineRule="auto"/>
        <w:ind w:firstLine="360"/>
        <w:jc w:val="both"/>
        <w:rPr>
          <w:rFonts w:ascii="Arial" w:hAnsi="Arial" w:cs="Arial"/>
          <w:sz w:val="24"/>
          <w:szCs w:val="24"/>
        </w:rPr>
      </w:pPr>
      <w:r w:rsidRPr="008F486E">
        <w:rPr>
          <w:rFonts w:ascii="Arial" w:hAnsi="Arial" w:cs="Arial"/>
          <w:sz w:val="24"/>
          <w:szCs w:val="24"/>
        </w:rPr>
        <w:t>La UE invertirá 12</w:t>
      </w:r>
      <w:r w:rsidR="009B01A8" w:rsidRPr="008F486E">
        <w:rPr>
          <w:rFonts w:ascii="Arial" w:hAnsi="Arial" w:cs="Arial"/>
          <w:sz w:val="24"/>
          <w:szCs w:val="24"/>
        </w:rPr>
        <w:t>.</w:t>
      </w:r>
      <w:r w:rsidRPr="008F486E">
        <w:rPr>
          <w:rFonts w:ascii="Arial" w:hAnsi="Arial" w:cs="Arial"/>
          <w:sz w:val="24"/>
          <w:szCs w:val="24"/>
        </w:rPr>
        <w:t xml:space="preserve">000 millones de euros en </w:t>
      </w:r>
      <w:r w:rsidR="00171DE0" w:rsidRPr="008F486E">
        <w:rPr>
          <w:rFonts w:ascii="Arial" w:hAnsi="Arial" w:cs="Arial"/>
          <w:sz w:val="24"/>
          <w:szCs w:val="24"/>
        </w:rPr>
        <w:t xml:space="preserve">el periodo </w:t>
      </w:r>
      <w:r w:rsidRPr="008F486E">
        <w:rPr>
          <w:rFonts w:ascii="Arial" w:hAnsi="Arial" w:cs="Arial"/>
          <w:sz w:val="24"/>
          <w:szCs w:val="24"/>
        </w:rPr>
        <w:t>2014-2020 para desarrollar proye</w:t>
      </w:r>
      <w:r w:rsidR="00AF5950" w:rsidRPr="008F486E">
        <w:rPr>
          <w:rFonts w:ascii="Arial" w:hAnsi="Arial" w:cs="Arial"/>
          <w:sz w:val="24"/>
          <w:szCs w:val="24"/>
        </w:rPr>
        <w:t xml:space="preserve">ctos espaciales de gran calidad como </w:t>
      </w:r>
      <w:proofErr w:type="spellStart"/>
      <w:r w:rsidRPr="008F486E">
        <w:rPr>
          <w:rFonts w:ascii="Arial" w:hAnsi="Arial" w:cs="Arial"/>
          <w:i/>
          <w:sz w:val="24"/>
          <w:szCs w:val="24"/>
        </w:rPr>
        <w:t>Copernicus</w:t>
      </w:r>
      <w:proofErr w:type="spellEnd"/>
      <w:r w:rsidRPr="008F486E">
        <w:rPr>
          <w:rFonts w:ascii="Arial" w:hAnsi="Arial" w:cs="Arial"/>
          <w:sz w:val="24"/>
          <w:szCs w:val="24"/>
        </w:rPr>
        <w:t>, destacado proveedor de datos de observación de la tierra en todo e</w:t>
      </w:r>
      <w:r w:rsidR="00171DE0" w:rsidRPr="008F486E">
        <w:rPr>
          <w:rFonts w:ascii="Arial" w:hAnsi="Arial" w:cs="Arial"/>
          <w:sz w:val="24"/>
          <w:szCs w:val="24"/>
        </w:rPr>
        <w:t>l mundo que</w:t>
      </w:r>
      <w:r w:rsidRPr="008F486E">
        <w:rPr>
          <w:rFonts w:ascii="Arial" w:hAnsi="Arial" w:cs="Arial"/>
          <w:sz w:val="24"/>
          <w:szCs w:val="24"/>
        </w:rPr>
        <w:t xml:space="preserve"> ayuda a </w:t>
      </w:r>
      <w:r w:rsidRPr="008F486E">
        <w:rPr>
          <w:rFonts w:ascii="Arial" w:hAnsi="Arial" w:cs="Arial"/>
          <w:sz w:val="24"/>
          <w:szCs w:val="24"/>
        </w:rPr>
        <w:lastRenderedPageBreak/>
        <w:t>salvar vidas en el mar, mejora nuestra respuesta a las catástrofes naturales, como los terremotos, los incendios forestales o las inundaciones, y permite a los agricultor</w:t>
      </w:r>
      <w:r w:rsidR="00AF5950" w:rsidRPr="008F486E">
        <w:rPr>
          <w:rFonts w:ascii="Arial" w:hAnsi="Arial" w:cs="Arial"/>
          <w:sz w:val="24"/>
          <w:szCs w:val="24"/>
        </w:rPr>
        <w:t xml:space="preserve">es gestionar mejor sus cultivos; </w:t>
      </w:r>
      <w:r w:rsidRPr="008F486E">
        <w:rPr>
          <w:rFonts w:ascii="Arial" w:hAnsi="Arial" w:cs="Arial"/>
          <w:sz w:val="24"/>
          <w:szCs w:val="24"/>
        </w:rPr>
        <w:t xml:space="preserve"> </w:t>
      </w:r>
      <w:r w:rsidRPr="008F486E">
        <w:rPr>
          <w:rFonts w:ascii="Arial" w:hAnsi="Arial" w:cs="Arial"/>
          <w:i/>
          <w:sz w:val="24"/>
          <w:szCs w:val="24"/>
        </w:rPr>
        <w:t>Galileo</w:t>
      </w:r>
      <w:r w:rsidRPr="008F486E">
        <w:rPr>
          <w:rFonts w:ascii="Arial" w:hAnsi="Arial" w:cs="Arial"/>
          <w:sz w:val="24"/>
          <w:szCs w:val="24"/>
        </w:rPr>
        <w:t>, el sistema mundial de navegación por satélite de Europa, ofrecerá datos de posicionamiento y temporización más exactos y fiables para los vehículos autónomos y conectados, los ferrocarrile</w:t>
      </w:r>
      <w:r w:rsidR="00AF5950" w:rsidRPr="008F486E">
        <w:rPr>
          <w:rFonts w:ascii="Arial" w:hAnsi="Arial" w:cs="Arial"/>
          <w:sz w:val="24"/>
          <w:szCs w:val="24"/>
        </w:rPr>
        <w:t xml:space="preserve">s, la aviación y otros sectores; </w:t>
      </w:r>
      <w:r w:rsidRPr="008F486E">
        <w:rPr>
          <w:rFonts w:ascii="Arial" w:hAnsi="Arial" w:cs="Arial"/>
          <w:sz w:val="24"/>
          <w:szCs w:val="24"/>
        </w:rPr>
        <w:t xml:space="preserve"> El sistema europeo de navegación por complemento geoestacionario </w:t>
      </w:r>
      <w:r w:rsidRPr="008F486E">
        <w:rPr>
          <w:rFonts w:ascii="Arial" w:hAnsi="Arial" w:cs="Arial"/>
          <w:i/>
          <w:sz w:val="24"/>
          <w:szCs w:val="24"/>
        </w:rPr>
        <w:t>(EGNOS</w:t>
      </w:r>
      <w:r w:rsidRPr="008F486E">
        <w:rPr>
          <w:rFonts w:ascii="Arial" w:hAnsi="Arial" w:cs="Arial"/>
          <w:sz w:val="24"/>
          <w:szCs w:val="24"/>
        </w:rPr>
        <w:t>) ofrece servicios de navegación de salvaguarda de la vida a los usuarios aéreos, navales y terrestres en gran parte de Europa.</w:t>
      </w:r>
      <w:r w:rsidR="009B01A8" w:rsidRPr="008F486E">
        <w:rPr>
          <w:rFonts w:ascii="Arial" w:hAnsi="Arial" w:cs="Arial"/>
          <w:sz w:val="24"/>
          <w:szCs w:val="24"/>
        </w:rPr>
        <w:t xml:space="preserve"> Estos proyectos no solo presentan beneficios para la sociedad en su conjunto sino también para la economía de la Unión.</w:t>
      </w:r>
    </w:p>
    <w:p w:rsidR="00634324" w:rsidRPr="008F486E" w:rsidRDefault="000F19F7"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El programa </w:t>
      </w:r>
      <w:proofErr w:type="spellStart"/>
      <w:r w:rsidRPr="008F486E">
        <w:rPr>
          <w:rFonts w:ascii="Arial" w:hAnsi="Arial" w:cs="Arial"/>
          <w:i/>
          <w:sz w:val="24"/>
          <w:szCs w:val="24"/>
        </w:rPr>
        <w:t>Copernicus</w:t>
      </w:r>
      <w:proofErr w:type="spellEnd"/>
      <w:r w:rsidRPr="008F486E">
        <w:rPr>
          <w:rFonts w:ascii="Arial" w:hAnsi="Arial" w:cs="Arial"/>
          <w:sz w:val="24"/>
          <w:szCs w:val="24"/>
        </w:rPr>
        <w:t xml:space="preserve"> se funda en una asociación entre la Unión, la AEE y los Estados miembros. Por consiguiente, debe tomar como punto de partida las capacidades europeas y nacionales existentes, y completarlas con nuevos recursos desarrollados en común y con la colaboración de otras Agencias</w:t>
      </w:r>
      <w:r w:rsidR="00961FE3" w:rsidRPr="008F486E">
        <w:rPr>
          <w:rStyle w:val="Refdenotaalpie"/>
          <w:rFonts w:ascii="Arial" w:hAnsi="Arial" w:cs="Arial"/>
          <w:sz w:val="24"/>
          <w:szCs w:val="24"/>
        </w:rPr>
        <w:footnoteReference w:id="74"/>
      </w:r>
      <w:r w:rsidR="00C26ACC" w:rsidRPr="008F486E">
        <w:rPr>
          <w:rFonts w:ascii="Arial" w:hAnsi="Arial" w:cs="Arial"/>
          <w:sz w:val="24"/>
          <w:szCs w:val="24"/>
        </w:rPr>
        <w:t xml:space="preserve"> como la Organización Europea para la Explotación de Satélites Meteorológicos (EUMETSAT), </w:t>
      </w:r>
      <w:r w:rsidR="00AF5950" w:rsidRPr="008F486E">
        <w:rPr>
          <w:rFonts w:ascii="Arial" w:hAnsi="Arial" w:cs="Arial"/>
          <w:sz w:val="24"/>
          <w:szCs w:val="24"/>
        </w:rPr>
        <w:t>respondiendo a</w:t>
      </w:r>
      <w:r w:rsidR="00634324" w:rsidRPr="008F486E">
        <w:rPr>
          <w:rFonts w:ascii="Arial" w:hAnsi="Arial" w:cs="Arial"/>
          <w:sz w:val="24"/>
          <w:szCs w:val="24"/>
        </w:rPr>
        <w:t xml:space="preserve"> </w:t>
      </w:r>
      <w:r w:rsidR="009B01A8" w:rsidRPr="008F486E">
        <w:rPr>
          <w:rFonts w:ascii="Arial" w:hAnsi="Arial" w:cs="Arial"/>
          <w:sz w:val="24"/>
          <w:szCs w:val="24"/>
        </w:rPr>
        <w:t>la nec</w:t>
      </w:r>
      <w:r w:rsidR="00634324" w:rsidRPr="008F486E">
        <w:rPr>
          <w:rFonts w:ascii="Arial" w:hAnsi="Arial" w:cs="Arial"/>
          <w:sz w:val="24"/>
          <w:szCs w:val="24"/>
        </w:rPr>
        <w:t xml:space="preserve">esidad de disponer de servicios </w:t>
      </w:r>
      <w:r w:rsidR="009B01A8" w:rsidRPr="008F486E">
        <w:rPr>
          <w:rFonts w:ascii="Arial" w:hAnsi="Arial" w:cs="Arial"/>
          <w:sz w:val="24"/>
          <w:szCs w:val="24"/>
        </w:rPr>
        <w:t xml:space="preserve">autónomos </w:t>
      </w:r>
      <w:r w:rsidR="00634324" w:rsidRPr="008F486E">
        <w:rPr>
          <w:rFonts w:ascii="Arial" w:hAnsi="Arial" w:cs="Arial"/>
          <w:sz w:val="24"/>
          <w:szCs w:val="24"/>
        </w:rPr>
        <w:t xml:space="preserve">e independientes de información </w:t>
      </w:r>
      <w:r w:rsidR="009B01A8" w:rsidRPr="008F486E">
        <w:rPr>
          <w:rFonts w:ascii="Arial" w:hAnsi="Arial" w:cs="Arial"/>
          <w:sz w:val="24"/>
          <w:szCs w:val="24"/>
        </w:rPr>
        <w:t>geo-espacia</w:t>
      </w:r>
      <w:r w:rsidR="00634324" w:rsidRPr="008F486E">
        <w:rPr>
          <w:rFonts w:ascii="Arial" w:hAnsi="Arial" w:cs="Arial"/>
          <w:sz w:val="24"/>
          <w:szCs w:val="24"/>
        </w:rPr>
        <w:t xml:space="preserve">l, en especial sobre cuestiones </w:t>
      </w:r>
      <w:r w:rsidR="009B01A8" w:rsidRPr="008F486E">
        <w:rPr>
          <w:rFonts w:ascii="Arial" w:hAnsi="Arial" w:cs="Arial"/>
          <w:sz w:val="24"/>
          <w:szCs w:val="24"/>
        </w:rPr>
        <w:t>m</w:t>
      </w:r>
      <w:r w:rsidR="00634324" w:rsidRPr="008F486E">
        <w:rPr>
          <w:rFonts w:ascii="Arial" w:hAnsi="Arial" w:cs="Arial"/>
          <w:sz w:val="24"/>
          <w:szCs w:val="24"/>
        </w:rPr>
        <w:t>edioambientales y de seguridad</w:t>
      </w:r>
      <w:r w:rsidR="001F2FD3" w:rsidRPr="008F486E">
        <w:rPr>
          <w:rFonts w:ascii="Arial" w:hAnsi="Arial" w:cs="Arial"/>
          <w:sz w:val="24"/>
          <w:szCs w:val="24"/>
        </w:rPr>
        <w:t>.</w:t>
      </w:r>
      <w:r w:rsidR="00227D44" w:rsidRPr="008F486E">
        <w:rPr>
          <w:rFonts w:ascii="Arial" w:hAnsi="Arial" w:cs="Arial"/>
          <w:sz w:val="24"/>
          <w:szCs w:val="24"/>
        </w:rPr>
        <w:t xml:space="preserve"> </w:t>
      </w:r>
      <w:r w:rsidR="004D39C7" w:rsidRPr="008F486E">
        <w:rPr>
          <w:rFonts w:ascii="Arial" w:hAnsi="Arial" w:cs="Arial"/>
          <w:sz w:val="24"/>
          <w:szCs w:val="24"/>
        </w:rPr>
        <w:t>Así, el 3 de abril de 2014</w:t>
      </w:r>
      <w:r w:rsidR="001F2FD3" w:rsidRPr="008F486E">
        <w:rPr>
          <w:rFonts w:ascii="Arial" w:hAnsi="Arial" w:cs="Arial"/>
          <w:sz w:val="24"/>
          <w:szCs w:val="24"/>
        </w:rPr>
        <w:t>,</w:t>
      </w:r>
      <w:r w:rsidR="004D39C7" w:rsidRPr="008F486E">
        <w:rPr>
          <w:rFonts w:ascii="Arial" w:hAnsi="Arial" w:cs="Arial"/>
          <w:sz w:val="24"/>
          <w:szCs w:val="24"/>
        </w:rPr>
        <w:t xml:space="preserve"> el Parlamento Europeo y el Consejo aprobaron el Reglamento 377/2014</w:t>
      </w:r>
      <w:r w:rsidR="004D39C7" w:rsidRPr="008F486E">
        <w:rPr>
          <w:rStyle w:val="Refdenotaalpie"/>
          <w:rFonts w:ascii="Arial" w:hAnsi="Arial" w:cs="Arial"/>
          <w:sz w:val="24"/>
          <w:szCs w:val="24"/>
        </w:rPr>
        <w:footnoteReference w:id="75"/>
      </w:r>
      <w:r w:rsidR="008F0830" w:rsidRPr="008F486E">
        <w:rPr>
          <w:rFonts w:ascii="Arial" w:hAnsi="Arial" w:cs="Arial"/>
          <w:sz w:val="24"/>
          <w:szCs w:val="24"/>
        </w:rPr>
        <w:t xml:space="preserve"> por el que se estableció el programa </w:t>
      </w:r>
      <w:proofErr w:type="spellStart"/>
      <w:r w:rsidR="008F0830" w:rsidRPr="008F486E">
        <w:rPr>
          <w:rFonts w:ascii="Arial" w:hAnsi="Arial" w:cs="Arial"/>
          <w:sz w:val="24"/>
          <w:szCs w:val="24"/>
        </w:rPr>
        <w:t>Copernicus</w:t>
      </w:r>
      <w:proofErr w:type="spellEnd"/>
      <w:r w:rsidR="008F0830" w:rsidRPr="008F486E">
        <w:rPr>
          <w:rFonts w:ascii="Arial" w:hAnsi="Arial" w:cs="Arial"/>
          <w:sz w:val="24"/>
          <w:szCs w:val="24"/>
        </w:rPr>
        <w:t xml:space="preserve"> cuyas principales finalidades son proporcionar información precisa y fiable en el ámbito del medio ambiente y la seguridad, adaptada a las necesidades de los usuarios y en apoyo de otras </w:t>
      </w:r>
      <w:r w:rsidR="008F0830" w:rsidRPr="008F486E">
        <w:rPr>
          <w:rFonts w:ascii="Arial" w:hAnsi="Arial" w:cs="Arial"/>
          <w:sz w:val="24"/>
          <w:szCs w:val="24"/>
        </w:rPr>
        <w:lastRenderedPageBreak/>
        <w:t xml:space="preserve">políticas de la Unión, en particular en lo que respecta al mercado interior, el transporte, el medio ambiente, la energía, la protección civil y la seguridad civil, la cooperación con terceros países y la ayuda humanitaria. Además, </w:t>
      </w:r>
      <w:proofErr w:type="spellStart"/>
      <w:r w:rsidR="008F0830" w:rsidRPr="008F486E">
        <w:rPr>
          <w:rFonts w:ascii="Arial" w:hAnsi="Arial" w:cs="Arial"/>
          <w:sz w:val="24"/>
          <w:szCs w:val="24"/>
        </w:rPr>
        <w:t>Copernicus</w:t>
      </w:r>
      <w:proofErr w:type="spellEnd"/>
      <w:r w:rsidR="00FA7A4B" w:rsidRPr="008F486E">
        <w:rPr>
          <w:rStyle w:val="Refdenotaalpie"/>
          <w:rFonts w:ascii="Arial" w:hAnsi="Arial" w:cs="Arial"/>
          <w:sz w:val="24"/>
          <w:szCs w:val="24"/>
        </w:rPr>
        <w:footnoteReference w:id="76"/>
      </w:r>
      <w:r w:rsidR="008F0830" w:rsidRPr="008F486E">
        <w:rPr>
          <w:rFonts w:ascii="Arial" w:hAnsi="Arial" w:cs="Arial"/>
          <w:sz w:val="24"/>
          <w:szCs w:val="24"/>
        </w:rPr>
        <w:t xml:space="preserve"> debe considerarse una contribución europea a la creación del Sistema Global de Sistemas de Observación de la Tierra (</w:t>
      </w:r>
      <w:r w:rsidR="008F0830" w:rsidRPr="008F486E">
        <w:rPr>
          <w:rFonts w:ascii="Arial" w:hAnsi="Arial" w:cs="Arial"/>
          <w:i/>
          <w:sz w:val="24"/>
          <w:szCs w:val="24"/>
        </w:rPr>
        <w:t>GEOSS</w:t>
      </w:r>
      <w:r w:rsidR="008F0830" w:rsidRPr="008F486E">
        <w:rPr>
          <w:rFonts w:ascii="Arial" w:hAnsi="Arial" w:cs="Arial"/>
          <w:sz w:val="24"/>
          <w:szCs w:val="24"/>
        </w:rPr>
        <w:t>) que se lleva a cabo en el marco del Grupo de Observación de la Tierra (</w:t>
      </w:r>
      <w:r w:rsidR="008F0830" w:rsidRPr="008F486E">
        <w:rPr>
          <w:rFonts w:ascii="Arial" w:hAnsi="Arial" w:cs="Arial"/>
          <w:i/>
          <w:sz w:val="24"/>
          <w:szCs w:val="24"/>
        </w:rPr>
        <w:t>GEO</w:t>
      </w:r>
      <w:r w:rsidR="008F0830" w:rsidRPr="008F486E">
        <w:rPr>
          <w:rFonts w:ascii="Arial" w:hAnsi="Arial" w:cs="Arial"/>
          <w:sz w:val="24"/>
          <w:szCs w:val="24"/>
        </w:rPr>
        <w:t xml:space="preserve">) y ha de ejecutarse en el marco de la Estrategia Europa 2020 para un crecimiento inteligente, sostenible e </w:t>
      </w:r>
      <w:r w:rsidRPr="008F486E">
        <w:rPr>
          <w:rFonts w:ascii="Arial" w:hAnsi="Arial" w:cs="Arial"/>
          <w:sz w:val="24"/>
          <w:szCs w:val="24"/>
        </w:rPr>
        <w:t>integrador.</w:t>
      </w:r>
      <w:r w:rsidR="00634324" w:rsidRPr="008F486E">
        <w:rPr>
          <w:rFonts w:ascii="Arial" w:hAnsi="Arial" w:cs="Arial"/>
          <w:sz w:val="24"/>
          <w:szCs w:val="24"/>
        </w:rPr>
        <w:t xml:space="preserve"> La AEE</w:t>
      </w:r>
      <w:r w:rsidR="009B01A8" w:rsidRPr="008F486E">
        <w:rPr>
          <w:rFonts w:ascii="Arial" w:hAnsi="Arial" w:cs="Arial"/>
          <w:sz w:val="24"/>
          <w:szCs w:val="24"/>
        </w:rPr>
        <w:t xml:space="preserve"> desarr</w:t>
      </w:r>
      <w:r w:rsidRPr="008F486E">
        <w:rPr>
          <w:rFonts w:ascii="Arial" w:hAnsi="Arial" w:cs="Arial"/>
          <w:sz w:val="24"/>
          <w:szCs w:val="24"/>
        </w:rPr>
        <w:t>olla el</w:t>
      </w:r>
      <w:r w:rsidR="00AF5950" w:rsidRPr="008F486E">
        <w:rPr>
          <w:rFonts w:ascii="Arial" w:hAnsi="Arial" w:cs="Arial"/>
          <w:sz w:val="24"/>
          <w:szCs w:val="24"/>
        </w:rPr>
        <w:t xml:space="preserve"> componente espacial</w:t>
      </w:r>
      <w:r w:rsidRPr="008F486E">
        <w:rPr>
          <w:rFonts w:ascii="Arial" w:hAnsi="Arial" w:cs="Arial"/>
          <w:sz w:val="24"/>
          <w:szCs w:val="24"/>
        </w:rPr>
        <w:t xml:space="preserve"> de </w:t>
      </w:r>
      <w:proofErr w:type="spellStart"/>
      <w:r w:rsidRPr="008F486E">
        <w:rPr>
          <w:rFonts w:ascii="Arial" w:hAnsi="Arial" w:cs="Arial"/>
          <w:sz w:val="24"/>
          <w:szCs w:val="24"/>
        </w:rPr>
        <w:t>Copernicus</w:t>
      </w:r>
      <w:proofErr w:type="spellEnd"/>
      <w:r w:rsidRPr="008F486E">
        <w:rPr>
          <w:rFonts w:ascii="Arial" w:hAnsi="Arial" w:cs="Arial"/>
          <w:sz w:val="24"/>
          <w:szCs w:val="24"/>
        </w:rPr>
        <w:t xml:space="preserve"> mediante</w:t>
      </w:r>
      <w:r w:rsidR="00634324" w:rsidRPr="008F486E">
        <w:rPr>
          <w:rFonts w:ascii="Arial" w:hAnsi="Arial" w:cs="Arial"/>
          <w:sz w:val="24"/>
          <w:szCs w:val="24"/>
        </w:rPr>
        <w:t xml:space="preserve"> la </w:t>
      </w:r>
      <w:r w:rsidR="009B01A8" w:rsidRPr="008F486E">
        <w:rPr>
          <w:rFonts w:ascii="Arial" w:hAnsi="Arial" w:cs="Arial"/>
          <w:sz w:val="24"/>
          <w:szCs w:val="24"/>
        </w:rPr>
        <w:t>serie de satélites</w:t>
      </w:r>
      <w:r w:rsidR="00634324" w:rsidRPr="008F486E">
        <w:rPr>
          <w:rFonts w:ascii="Arial" w:hAnsi="Arial" w:cs="Arial"/>
          <w:sz w:val="24"/>
          <w:szCs w:val="24"/>
        </w:rPr>
        <w:t xml:space="preserve"> </w:t>
      </w:r>
      <w:r w:rsidR="00227D44" w:rsidRPr="008F486E">
        <w:rPr>
          <w:rFonts w:ascii="Arial" w:hAnsi="Arial" w:cs="Arial"/>
          <w:sz w:val="24"/>
          <w:szCs w:val="24"/>
        </w:rPr>
        <w:t>“</w:t>
      </w:r>
      <w:proofErr w:type="spellStart"/>
      <w:r w:rsidR="00634324" w:rsidRPr="008F486E">
        <w:rPr>
          <w:rFonts w:ascii="Arial" w:hAnsi="Arial" w:cs="Arial"/>
          <w:sz w:val="24"/>
          <w:szCs w:val="24"/>
        </w:rPr>
        <w:t>Sentinel</w:t>
      </w:r>
      <w:proofErr w:type="spellEnd"/>
      <w:r w:rsidR="00227D44" w:rsidRPr="008F486E">
        <w:rPr>
          <w:rFonts w:ascii="Arial" w:hAnsi="Arial" w:cs="Arial"/>
          <w:sz w:val="24"/>
          <w:szCs w:val="24"/>
        </w:rPr>
        <w:t>”</w:t>
      </w:r>
      <w:r w:rsidR="00634324" w:rsidRPr="008F486E">
        <w:rPr>
          <w:rFonts w:ascii="Arial" w:hAnsi="Arial" w:cs="Arial"/>
          <w:sz w:val="24"/>
          <w:szCs w:val="24"/>
        </w:rPr>
        <w:t xml:space="preserve">, su infraestructura y </w:t>
      </w:r>
      <w:r w:rsidR="009B01A8" w:rsidRPr="008F486E">
        <w:rPr>
          <w:rFonts w:ascii="Arial" w:hAnsi="Arial" w:cs="Arial"/>
          <w:sz w:val="24"/>
          <w:szCs w:val="24"/>
        </w:rPr>
        <w:t>el acceso a sus datos.</w:t>
      </w:r>
      <w:r w:rsidR="00AF5950" w:rsidRPr="008F486E">
        <w:rPr>
          <w:rFonts w:ascii="Arial" w:hAnsi="Arial" w:cs="Arial"/>
          <w:sz w:val="24"/>
          <w:szCs w:val="24"/>
        </w:rPr>
        <w:t xml:space="preserve"> </w:t>
      </w:r>
      <w:r w:rsidRPr="008F486E">
        <w:rPr>
          <w:rFonts w:ascii="Arial" w:hAnsi="Arial" w:cs="Arial"/>
          <w:sz w:val="24"/>
          <w:szCs w:val="24"/>
        </w:rPr>
        <w:t xml:space="preserve">Su evolución debe basarse en un análisis de las opciones posibles para satisfacer las nuevas necesidades de los usuarios, incluidas la compra (de datos) de misiones nacionales/públicas y de proveedores comerciales en Europa, la especificación de nuevas misiones dedicadas, los acuerdos internacionales que garanticen el acceso a misiones no europeas, y el mercado europeo de observación de la Tierra. </w:t>
      </w:r>
      <w:proofErr w:type="spellStart"/>
      <w:r w:rsidRPr="008F486E">
        <w:rPr>
          <w:rFonts w:ascii="Arial" w:hAnsi="Arial" w:cs="Arial"/>
          <w:sz w:val="24"/>
          <w:szCs w:val="24"/>
        </w:rPr>
        <w:t>Copernicus</w:t>
      </w:r>
      <w:proofErr w:type="spellEnd"/>
      <w:r w:rsidRPr="008F486E">
        <w:rPr>
          <w:rFonts w:ascii="Arial" w:hAnsi="Arial" w:cs="Arial"/>
          <w:sz w:val="24"/>
          <w:szCs w:val="24"/>
        </w:rPr>
        <w:t xml:space="preserve"> debe ser coherente con los sistemas europeos de navegación por satélite (Galileo y EGNOS)</w:t>
      </w:r>
      <w:r w:rsidR="006869CE" w:rsidRPr="008F486E">
        <w:rPr>
          <w:rFonts w:ascii="Arial" w:hAnsi="Arial" w:cs="Arial"/>
          <w:sz w:val="24"/>
          <w:szCs w:val="24"/>
        </w:rPr>
        <w:t>.</w:t>
      </w:r>
      <w:r w:rsidR="007723E3" w:rsidRPr="008F486E">
        <w:rPr>
          <w:rFonts w:ascii="Arial" w:hAnsi="Arial" w:cs="Arial"/>
          <w:sz w:val="24"/>
          <w:szCs w:val="24"/>
        </w:rPr>
        <w:t xml:space="preserve"> </w:t>
      </w:r>
      <w:r w:rsidR="006869CE" w:rsidRPr="008F486E">
        <w:rPr>
          <w:rFonts w:ascii="Arial" w:hAnsi="Arial" w:cs="Arial"/>
          <w:sz w:val="24"/>
          <w:szCs w:val="24"/>
        </w:rPr>
        <w:t xml:space="preserve">Respecto a los sistemas </w:t>
      </w:r>
      <w:r w:rsidR="006869CE" w:rsidRPr="008F486E">
        <w:rPr>
          <w:rFonts w:ascii="Arial" w:hAnsi="Arial" w:cs="Arial"/>
          <w:i/>
          <w:sz w:val="24"/>
          <w:szCs w:val="24"/>
        </w:rPr>
        <w:t>Galileo</w:t>
      </w:r>
      <w:r w:rsidR="006869CE" w:rsidRPr="008F486E">
        <w:rPr>
          <w:rFonts w:ascii="Arial" w:hAnsi="Arial" w:cs="Arial"/>
          <w:sz w:val="24"/>
          <w:szCs w:val="24"/>
        </w:rPr>
        <w:t xml:space="preserve"> y </w:t>
      </w:r>
      <w:r w:rsidR="006869CE" w:rsidRPr="008F486E">
        <w:rPr>
          <w:rFonts w:ascii="Arial" w:hAnsi="Arial" w:cs="Arial"/>
          <w:i/>
          <w:sz w:val="24"/>
          <w:szCs w:val="24"/>
        </w:rPr>
        <w:t>EGNOS</w:t>
      </w:r>
      <w:r w:rsidR="006869CE" w:rsidRPr="008F486E">
        <w:rPr>
          <w:rFonts w:ascii="Arial" w:hAnsi="Arial" w:cs="Arial"/>
          <w:sz w:val="24"/>
          <w:szCs w:val="24"/>
        </w:rPr>
        <w:t>, el Parlamento Europeo y el Consejo aprueban mediante el Reglamento</w:t>
      </w:r>
      <w:r w:rsidR="001F2FD3" w:rsidRPr="008F486E">
        <w:rPr>
          <w:rFonts w:ascii="Arial" w:hAnsi="Arial" w:cs="Arial"/>
          <w:sz w:val="24"/>
          <w:szCs w:val="24"/>
        </w:rPr>
        <w:t xml:space="preserve"> (UE) Nº</w:t>
      </w:r>
      <w:r w:rsidR="006869CE" w:rsidRPr="008F486E">
        <w:rPr>
          <w:rFonts w:ascii="Arial" w:hAnsi="Arial" w:cs="Arial"/>
          <w:sz w:val="24"/>
          <w:szCs w:val="24"/>
        </w:rPr>
        <w:t xml:space="preserve"> 1285/2013, de 11 de diciembre de 2013</w:t>
      </w:r>
      <w:r w:rsidR="006869CE" w:rsidRPr="008F486E">
        <w:rPr>
          <w:rStyle w:val="Refdenotaalpie"/>
          <w:rFonts w:ascii="Arial" w:hAnsi="Arial" w:cs="Arial"/>
          <w:sz w:val="24"/>
          <w:szCs w:val="24"/>
        </w:rPr>
        <w:footnoteReference w:id="77"/>
      </w:r>
      <w:r w:rsidR="006869CE" w:rsidRPr="008F486E">
        <w:rPr>
          <w:rFonts w:ascii="Arial" w:hAnsi="Arial" w:cs="Arial"/>
          <w:sz w:val="24"/>
          <w:szCs w:val="24"/>
        </w:rPr>
        <w:t>, el establecimiento y la explotación de ambos sistemas de radionavegación por satélite</w:t>
      </w:r>
      <w:r w:rsidR="0095495F" w:rsidRPr="008F486E">
        <w:rPr>
          <w:rFonts w:ascii="Arial" w:hAnsi="Arial" w:cs="Arial"/>
          <w:sz w:val="24"/>
          <w:szCs w:val="24"/>
        </w:rPr>
        <w:t xml:space="preserve"> y que</w:t>
      </w:r>
      <w:r w:rsidR="006869CE" w:rsidRPr="008F486E">
        <w:rPr>
          <w:rFonts w:ascii="Arial" w:hAnsi="Arial" w:cs="Arial"/>
          <w:sz w:val="24"/>
          <w:szCs w:val="24"/>
        </w:rPr>
        <w:t xml:space="preserve"> </w:t>
      </w:r>
      <w:r w:rsidR="0095495F" w:rsidRPr="008F486E">
        <w:rPr>
          <w:rFonts w:ascii="Arial" w:hAnsi="Arial" w:cs="Arial"/>
          <w:sz w:val="24"/>
          <w:szCs w:val="24"/>
        </w:rPr>
        <w:t xml:space="preserve">comprenderán todas las actividades necesarias para definir, desarrollar, validar, construir, explotar, renovar y mejorar estos sistemas, maximizando los beneficios socioeconómicos promoviendo su uso y facilitando su desarrollo. </w:t>
      </w:r>
    </w:p>
    <w:p w:rsidR="00634324" w:rsidRPr="008F486E" w:rsidRDefault="00634324" w:rsidP="008F486E">
      <w:pPr>
        <w:spacing w:line="360" w:lineRule="auto"/>
        <w:ind w:firstLine="360"/>
        <w:jc w:val="both"/>
        <w:rPr>
          <w:rFonts w:ascii="Arial" w:hAnsi="Arial" w:cs="Arial"/>
          <w:sz w:val="24"/>
          <w:szCs w:val="24"/>
        </w:rPr>
      </w:pPr>
      <w:r w:rsidRPr="008F486E">
        <w:rPr>
          <w:rFonts w:ascii="Arial" w:hAnsi="Arial" w:cs="Arial"/>
          <w:i/>
          <w:sz w:val="24"/>
          <w:szCs w:val="24"/>
        </w:rPr>
        <w:t>Galileo</w:t>
      </w:r>
      <w:r w:rsidR="004C33EB" w:rsidRPr="008F486E">
        <w:rPr>
          <w:rFonts w:ascii="Arial" w:hAnsi="Arial" w:cs="Arial"/>
          <w:sz w:val="24"/>
          <w:szCs w:val="24"/>
        </w:rPr>
        <w:t xml:space="preserve"> es un sistema bajo control civil y una infraestructura del sistema mundial de radionavegación por satélite (GNSS) autónoma</w:t>
      </w:r>
      <w:r w:rsidR="001F2FD3" w:rsidRPr="008F486E">
        <w:rPr>
          <w:rFonts w:ascii="Arial" w:hAnsi="Arial" w:cs="Arial"/>
          <w:sz w:val="24"/>
          <w:szCs w:val="24"/>
        </w:rPr>
        <w:t xml:space="preserve"> y</w:t>
      </w:r>
      <w:r w:rsidR="004C33EB" w:rsidRPr="008F486E">
        <w:rPr>
          <w:rFonts w:ascii="Arial" w:hAnsi="Arial" w:cs="Arial"/>
          <w:sz w:val="24"/>
          <w:szCs w:val="24"/>
        </w:rPr>
        <w:t xml:space="preserve"> consistente en una constelación de veinticuatro satélites (más seis de reserva)</w:t>
      </w:r>
      <w:r w:rsidR="009005FF" w:rsidRPr="008F486E">
        <w:rPr>
          <w:rFonts w:ascii="Arial" w:hAnsi="Arial" w:cs="Arial"/>
          <w:sz w:val="24"/>
          <w:szCs w:val="24"/>
        </w:rPr>
        <w:t xml:space="preserve"> proporcionados por la AEE</w:t>
      </w:r>
      <w:r w:rsidR="004C33EB" w:rsidRPr="008F486E">
        <w:rPr>
          <w:rFonts w:ascii="Arial" w:hAnsi="Arial" w:cs="Arial"/>
          <w:sz w:val="24"/>
          <w:szCs w:val="24"/>
        </w:rPr>
        <w:t xml:space="preserve"> y una red mundial de estaciones terrestres.</w:t>
      </w:r>
      <w:r w:rsidR="00602F69" w:rsidRPr="008F486E">
        <w:rPr>
          <w:rFonts w:ascii="Arial" w:hAnsi="Arial" w:cs="Arial"/>
          <w:sz w:val="24"/>
          <w:szCs w:val="24"/>
        </w:rPr>
        <w:t xml:space="preserve"> </w:t>
      </w:r>
      <w:r w:rsidR="004C33EB" w:rsidRPr="008F486E">
        <w:rPr>
          <w:rFonts w:ascii="Arial" w:hAnsi="Arial" w:cs="Arial"/>
          <w:sz w:val="24"/>
          <w:szCs w:val="24"/>
        </w:rPr>
        <w:t xml:space="preserve"> </w:t>
      </w:r>
      <w:r w:rsidR="00602F69" w:rsidRPr="008F486E">
        <w:rPr>
          <w:rFonts w:ascii="Arial" w:hAnsi="Arial" w:cs="Arial"/>
          <w:sz w:val="24"/>
          <w:szCs w:val="24"/>
        </w:rPr>
        <w:t xml:space="preserve">Galileo sentará las bases para un amplio rango de aplicaciones, incluyendo servicios de valor añadido de localización geográfica en sectores como el transporte terrestre, </w:t>
      </w:r>
      <w:r w:rsidR="00602F69" w:rsidRPr="008F486E">
        <w:rPr>
          <w:rFonts w:ascii="Arial" w:hAnsi="Arial" w:cs="Arial"/>
          <w:sz w:val="24"/>
          <w:szCs w:val="24"/>
        </w:rPr>
        <w:lastRenderedPageBreak/>
        <w:t xml:space="preserve">marítimo o aéreo, la gestión de la infraestructura y de las obras públicas, la gestión agrícola y ganadera, o la autenticación para la banca online o el comercio electrónico.  Galileo será un recurso clave para un gran número de servicios públicos, tales como las operaciones de rescate, el orden público o la gestión de crisis. </w:t>
      </w:r>
      <w:r w:rsidR="004C33EB" w:rsidRPr="008F486E">
        <w:rPr>
          <w:rFonts w:ascii="Arial" w:hAnsi="Arial" w:cs="Arial"/>
          <w:sz w:val="24"/>
          <w:szCs w:val="24"/>
        </w:rPr>
        <w:t>Los objetivos específico</w:t>
      </w:r>
      <w:r w:rsidR="009005FF" w:rsidRPr="008F486E">
        <w:rPr>
          <w:rFonts w:ascii="Arial" w:hAnsi="Arial" w:cs="Arial"/>
          <w:sz w:val="24"/>
          <w:szCs w:val="24"/>
        </w:rPr>
        <w:t>s de Galileo son ofrecer un “</w:t>
      </w:r>
      <w:r w:rsidR="00D44FF0" w:rsidRPr="008F486E">
        <w:rPr>
          <w:rFonts w:ascii="Arial" w:hAnsi="Arial" w:cs="Arial"/>
          <w:sz w:val="24"/>
          <w:szCs w:val="24"/>
        </w:rPr>
        <w:t>Servicio A</w:t>
      </w:r>
      <w:r w:rsidR="009005FF" w:rsidRPr="008F486E">
        <w:rPr>
          <w:rFonts w:ascii="Arial" w:hAnsi="Arial" w:cs="Arial"/>
          <w:sz w:val="24"/>
          <w:szCs w:val="24"/>
        </w:rPr>
        <w:t>bierto”, es decir, gratuito para el usuario proporcionado datos de posicionamiento y sincronización cooperando además con otros sistemas de radionavegación por satélite así como ofrecer un “</w:t>
      </w:r>
      <w:r w:rsidR="00D44FF0" w:rsidRPr="008F486E">
        <w:rPr>
          <w:rFonts w:ascii="Arial" w:hAnsi="Arial" w:cs="Arial"/>
          <w:sz w:val="24"/>
          <w:szCs w:val="24"/>
        </w:rPr>
        <w:t>Servicio C</w:t>
      </w:r>
      <w:r w:rsidR="009005FF" w:rsidRPr="008F486E">
        <w:rPr>
          <w:rFonts w:ascii="Arial" w:hAnsi="Arial" w:cs="Arial"/>
          <w:sz w:val="24"/>
          <w:szCs w:val="24"/>
        </w:rPr>
        <w:t>omercial” que permita aplicaciones profesionales o comerciales con mejores prestaciones que las que se ofrecen en el servicio abierto. Galileo también proporcionará un “</w:t>
      </w:r>
      <w:r w:rsidR="00D44FF0" w:rsidRPr="008F486E">
        <w:rPr>
          <w:rFonts w:ascii="Arial" w:hAnsi="Arial" w:cs="Arial"/>
          <w:sz w:val="24"/>
          <w:szCs w:val="24"/>
        </w:rPr>
        <w:t>Servicio Público R</w:t>
      </w:r>
      <w:r w:rsidR="009005FF" w:rsidRPr="008F486E">
        <w:rPr>
          <w:rFonts w:ascii="Arial" w:hAnsi="Arial" w:cs="Arial"/>
          <w:sz w:val="24"/>
          <w:szCs w:val="24"/>
        </w:rPr>
        <w:t>egulado” para los usuarios autorizados por los gobiernos utilizando señales potentes y codificadas. Por último, contribuirá</w:t>
      </w:r>
      <w:r w:rsidR="004C33EB" w:rsidRPr="008F486E">
        <w:rPr>
          <w:rFonts w:ascii="Arial" w:hAnsi="Arial" w:cs="Arial"/>
          <w:sz w:val="24"/>
          <w:szCs w:val="24"/>
        </w:rPr>
        <w:t xml:space="preserve"> al «Servicio de </w:t>
      </w:r>
      <w:r w:rsidR="009005FF" w:rsidRPr="008F486E">
        <w:rPr>
          <w:rFonts w:ascii="Arial" w:hAnsi="Arial" w:cs="Arial"/>
          <w:sz w:val="24"/>
          <w:szCs w:val="24"/>
        </w:rPr>
        <w:t>Búsqueda y Salvamento</w:t>
      </w:r>
      <w:r w:rsidR="009C01BD" w:rsidRPr="008F486E">
        <w:rPr>
          <w:rFonts w:ascii="Arial" w:hAnsi="Arial" w:cs="Arial"/>
          <w:sz w:val="24"/>
          <w:szCs w:val="24"/>
        </w:rPr>
        <w:t xml:space="preserve"> </w:t>
      </w:r>
      <w:r w:rsidR="009005FF" w:rsidRPr="008F486E">
        <w:rPr>
          <w:rFonts w:ascii="Arial" w:hAnsi="Arial" w:cs="Arial"/>
          <w:sz w:val="24"/>
          <w:szCs w:val="24"/>
        </w:rPr>
        <w:t xml:space="preserve">del sistema </w:t>
      </w:r>
      <w:r w:rsidR="009005FF" w:rsidRPr="008F486E">
        <w:rPr>
          <w:rFonts w:ascii="Arial" w:hAnsi="Arial" w:cs="Arial"/>
          <w:i/>
          <w:sz w:val="24"/>
          <w:szCs w:val="24"/>
        </w:rPr>
        <w:t>COSPAS</w:t>
      </w:r>
      <w:r w:rsidR="00D44FF0" w:rsidRPr="008F486E">
        <w:rPr>
          <w:rFonts w:ascii="Arial" w:hAnsi="Arial" w:cs="Arial"/>
          <w:i/>
          <w:sz w:val="24"/>
          <w:szCs w:val="24"/>
        </w:rPr>
        <w:t>-</w:t>
      </w:r>
      <w:r w:rsidR="009005FF" w:rsidRPr="008F486E">
        <w:rPr>
          <w:rFonts w:ascii="Arial" w:hAnsi="Arial" w:cs="Arial"/>
          <w:i/>
          <w:sz w:val="24"/>
          <w:szCs w:val="24"/>
        </w:rPr>
        <w:t>SARSAT</w:t>
      </w:r>
      <w:r w:rsidR="00B154A4" w:rsidRPr="008F486E">
        <w:rPr>
          <w:rStyle w:val="Refdenotaalpie"/>
          <w:rFonts w:ascii="Arial" w:hAnsi="Arial" w:cs="Arial"/>
          <w:sz w:val="24"/>
          <w:szCs w:val="24"/>
        </w:rPr>
        <w:footnoteReference w:id="78"/>
      </w:r>
      <w:r w:rsidR="009005FF" w:rsidRPr="008F486E">
        <w:rPr>
          <w:rFonts w:ascii="Arial" w:hAnsi="Arial" w:cs="Arial"/>
          <w:sz w:val="24"/>
          <w:szCs w:val="24"/>
        </w:rPr>
        <w:t xml:space="preserve">, </w:t>
      </w:r>
      <w:r w:rsidR="004C33EB" w:rsidRPr="008F486E">
        <w:rPr>
          <w:rFonts w:ascii="Arial" w:hAnsi="Arial" w:cs="Arial"/>
          <w:sz w:val="24"/>
          <w:szCs w:val="24"/>
        </w:rPr>
        <w:t>detectando las señ</w:t>
      </w:r>
      <w:r w:rsidR="009005FF" w:rsidRPr="008F486E">
        <w:rPr>
          <w:rFonts w:ascii="Arial" w:hAnsi="Arial" w:cs="Arial"/>
          <w:sz w:val="24"/>
          <w:szCs w:val="24"/>
        </w:rPr>
        <w:t xml:space="preserve">ales de emergencia transmitidas </w:t>
      </w:r>
      <w:r w:rsidR="004C33EB" w:rsidRPr="008F486E">
        <w:rPr>
          <w:rFonts w:ascii="Arial" w:hAnsi="Arial" w:cs="Arial"/>
          <w:sz w:val="24"/>
          <w:szCs w:val="24"/>
        </w:rPr>
        <w:t>por balizas y transmitiendo mensajes a estas.</w:t>
      </w:r>
    </w:p>
    <w:p w:rsidR="00573DB0" w:rsidRPr="008F486E" w:rsidRDefault="00634324" w:rsidP="008F486E">
      <w:pPr>
        <w:spacing w:line="360" w:lineRule="auto"/>
        <w:ind w:firstLine="360"/>
        <w:jc w:val="both"/>
        <w:rPr>
          <w:rFonts w:ascii="Arial" w:hAnsi="Arial" w:cs="Arial"/>
          <w:sz w:val="24"/>
          <w:szCs w:val="24"/>
        </w:rPr>
      </w:pPr>
      <w:r w:rsidRPr="008F486E">
        <w:rPr>
          <w:rFonts w:ascii="Arial" w:hAnsi="Arial" w:cs="Arial"/>
          <w:i/>
          <w:sz w:val="24"/>
          <w:szCs w:val="24"/>
        </w:rPr>
        <w:t>EGNOS</w:t>
      </w:r>
      <w:r w:rsidR="001465AB" w:rsidRPr="008F486E">
        <w:rPr>
          <w:rFonts w:ascii="Arial" w:hAnsi="Arial" w:cs="Arial"/>
          <w:sz w:val="24"/>
          <w:szCs w:val="24"/>
        </w:rPr>
        <w:t xml:space="preserve"> es un sistema regional de radionavegación por satélite dotado de una infraestructura que controlará y corregirá las señales abiertas emitidas por los sistemas mundiales de radionavegación por satélite existentes, así como las del servicio abierto ofrecido por el sistema Galileo, cuando estén disponibles.</w:t>
      </w:r>
      <w:r w:rsidR="00F87884" w:rsidRPr="008F486E">
        <w:rPr>
          <w:rFonts w:ascii="Arial" w:hAnsi="Arial" w:cs="Arial"/>
          <w:sz w:val="24"/>
          <w:szCs w:val="24"/>
        </w:rPr>
        <w:t xml:space="preserve"> Se trata de conseguir un transporte terrestre, marítimo, aéreo y espacial más inteligente, seguro y sostenible además de integrado en futuros sectores estratégicos como los vehículos autónomos y conectados, los vehículos aéreos no tripulados</w:t>
      </w:r>
      <w:r w:rsidR="00B154A4" w:rsidRPr="008F486E">
        <w:rPr>
          <w:rStyle w:val="Refdenotaalpie"/>
          <w:rFonts w:ascii="Arial" w:hAnsi="Arial" w:cs="Arial"/>
          <w:sz w:val="24"/>
          <w:szCs w:val="24"/>
        </w:rPr>
        <w:footnoteReference w:id="79"/>
      </w:r>
      <w:r w:rsidR="00F87884" w:rsidRPr="008F486E">
        <w:rPr>
          <w:rFonts w:ascii="Arial" w:hAnsi="Arial" w:cs="Arial"/>
          <w:sz w:val="24"/>
          <w:szCs w:val="24"/>
        </w:rPr>
        <w:t xml:space="preserve"> y el desarrollo del turismo espacial. </w:t>
      </w:r>
      <w:r w:rsidR="001465AB" w:rsidRPr="008F486E">
        <w:rPr>
          <w:rFonts w:ascii="Arial" w:hAnsi="Arial" w:cs="Arial"/>
          <w:sz w:val="24"/>
          <w:szCs w:val="24"/>
        </w:rPr>
        <w:t xml:space="preserve"> Su funcionamiento y aplicaciones se efectuarán prioritariamente en los países que se encuentren geográficamente en Europa aunque podrá ampliarse a terceros países, especialmente los asociados al </w:t>
      </w:r>
      <w:r w:rsidR="001465AB" w:rsidRPr="008F486E">
        <w:rPr>
          <w:rFonts w:ascii="Arial" w:hAnsi="Arial" w:cs="Arial"/>
          <w:i/>
          <w:sz w:val="24"/>
          <w:szCs w:val="24"/>
        </w:rPr>
        <w:t>Cielo Único Europeo</w:t>
      </w:r>
      <w:r w:rsidR="00F04C3D" w:rsidRPr="008F486E">
        <w:rPr>
          <w:rStyle w:val="Refdenotaalpie"/>
          <w:rFonts w:ascii="Arial" w:hAnsi="Arial" w:cs="Arial"/>
          <w:sz w:val="24"/>
          <w:szCs w:val="24"/>
        </w:rPr>
        <w:footnoteReference w:id="80"/>
      </w:r>
      <w:r w:rsidR="001465AB" w:rsidRPr="008F486E">
        <w:rPr>
          <w:rFonts w:ascii="Arial" w:hAnsi="Arial" w:cs="Arial"/>
          <w:sz w:val="24"/>
          <w:szCs w:val="24"/>
        </w:rPr>
        <w:t xml:space="preserve">. EGNOS contará </w:t>
      </w:r>
      <w:r w:rsidR="001465AB" w:rsidRPr="008F486E">
        <w:rPr>
          <w:rFonts w:ascii="Arial" w:hAnsi="Arial" w:cs="Arial"/>
          <w:sz w:val="24"/>
          <w:szCs w:val="24"/>
        </w:rPr>
        <w:lastRenderedPageBreak/>
        <w:t>con estaciones terrestres y varios transpondedores instalados en satélites geoestacionarios. Los obj</w:t>
      </w:r>
      <w:r w:rsidR="001F2FD3" w:rsidRPr="008F486E">
        <w:rPr>
          <w:rFonts w:ascii="Arial" w:hAnsi="Arial" w:cs="Arial"/>
          <w:sz w:val="24"/>
          <w:szCs w:val="24"/>
        </w:rPr>
        <w:t>etivos específicos de EGNOS son</w:t>
      </w:r>
      <w:r w:rsidR="001465AB" w:rsidRPr="008F486E">
        <w:rPr>
          <w:rFonts w:ascii="Arial" w:hAnsi="Arial" w:cs="Arial"/>
          <w:sz w:val="24"/>
          <w:szCs w:val="24"/>
        </w:rPr>
        <w:t xml:space="preserve"> ofrecer un “Servicio Abierto” que será gratu</w:t>
      </w:r>
      <w:r w:rsidR="005C5FC5" w:rsidRPr="008F486E">
        <w:rPr>
          <w:rFonts w:ascii="Arial" w:hAnsi="Arial" w:cs="Arial"/>
          <w:sz w:val="24"/>
          <w:szCs w:val="24"/>
        </w:rPr>
        <w:t>i</w:t>
      </w:r>
      <w:r w:rsidR="001465AB" w:rsidRPr="008F486E">
        <w:rPr>
          <w:rFonts w:ascii="Arial" w:hAnsi="Arial" w:cs="Arial"/>
          <w:sz w:val="24"/>
          <w:szCs w:val="24"/>
        </w:rPr>
        <w:t>to pa</w:t>
      </w:r>
      <w:r w:rsidR="001F2FD3" w:rsidRPr="008F486E">
        <w:rPr>
          <w:rFonts w:ascii="Arial" w:hAnsi="Arial" w:cs="Arial"/>
          <w:sz w:val="24"/>
          <w:szCs w:val="24"/>
        </w:rPr>
        <w:t>ra el usuario proporcionando dat</w:t>
      </w:r>
      <w:r w:rsidR="001465AB" w:rsidRPr="008F486E">
        <w:rPr>
          <w:rFonts w:ascii="Arial" w:hAnsi="Arial" w:cs="Arial"/>
          <w:sz w:val="24"/>
          <w:szCs w:val="24"/>
        </w:rPr>
        <w:t>os de posicionamiento y sincronización</w:t>
      </w:r>
      <w:r w:rsidR="005C5FC5" w:rsidRPr="008F486E">
        <w:rPr>
          <w:rFonts w:ascii="Arial" w:hAnsi="Arial" w:cs="Arial"/>
          <w:sz w:val="24"/>
          <w:szCs w:val="24"/>
        </w:rPr>
        <w:t>, también ofrecerá un servicio de difusión de datos comerciales o “Servicio de Acceso a los datos EGNOS” para aplicaciones comerciales y profesionales y con mayores prestaciones que el “Servicio Abierto”. Por último, ofrecerá un “Servicio de Salvaguardia de la Vida” destinado específicamente a los usuarios para los que la seguridad es esencial y estará exento de cargas directas.</w:t>
      </w:r>
      <w:r w:rsidR="00D02575" w:rsidRPr="008F486E">
        <w:rPr>
          <w:rFonts w:ascii="Arial" w:hAnsi="Arial" w:cs="Arial"/>
          <w:sz w:val="24"/>
          <w:szCs w:val="24"/>
        </w:rPr>
        <w:t xml:space="preserve"> </w:t>
      </w:r>
      <w:r w:rsidRPr="008F486E">
        <w:rPr>
          <w:rFonts w:ascii="Arial" w:hAnsi="Arial" w:cs="Arial"/>
          <w:sz w:val="24"/>
          <w:szCs w:val="24"/>
        </w:rPr>
        <w:t xml:space="preserve">Con el nuevo </w:t>
      </w:r>
      <w:r w:rsidRPr="008F486E">
        <w:rPr>
          <w:rFonts w:ascii="Arial" w:hAnsi="Arial" w:cs="Arial"/>
          <w:i/>
          <w:sz w:val="24"/>
          <w:szCs w:val="24"/>
        </w:rPr>
        <w:t>Programa de Innovación y Apoyo a la Navegación (NAVISP</w:t>
      </w:r>
      <w:r w:rsidRPr="008F486E">
        <w:rPr>
          <w:rFonts w:ascii="Arial" w:hAnsi="Arial" w:cs="Arial"/>
          <w:sz w:val="24"/>
          <w:szCs w:val="24"/>
        </w:rPr>
        <w:t>)</w:t>
      </w:r>
      <w:r w:rsidR="002904CC" w:rsidRPr="008F486E">
        <w:rPr>
          <w:rStyle w:val="Refdenotaalpie"/>
          <w:rFonts w:ascii="Arial" w:hAnsi="Arial" w:cs="Arial"/>
          <w:sz w:val="24"/>
          <w:szCs w:val="24"/>
        </w:rPr>
        <w:footnoteReference w:id="81"/>
      </w:r>
      <w:r w:rsidRPr="008F486E">
        <w:rPr>
          <w:rFonts w:ascii="Arial" w:hAnsi="Arial" w:cs="Arial"/>
          <w:sz w:val="24"/>
          <w:szCs w:val="24"/>
        </w:rPr>
        <w:t>, la investigación se centrará en integrar la navegación espacial y terrestre, así como en nuevas formas de mejorar GNSS.</w:t>
      </w:r>
    </w:p>
    <w:p w:rsidR="00387CCF" w:rsidRPr="008F486E" w:rsidRDefault="00387CCF" w:rsidP="008F486E">
      <w:pPr>
        <w:spacing w:line="360" w:lineRule="auto"/>
        <w:ind w:firstLine="360"/>
        <w:jc w:val="both"/>
        <w:rPr>
          <w:rFonts w:ascii="Arial" w:hAnsi="Arial" w:cs="Arial"/>
          <w:sz w:val="24"/>
          <w:szCs w:val="24"/>
        </w:rPr>
      </w:pPr>
    </w:p>
    <w:p w:rsidR="00963FF3" w:rsidRPr="008F486E" w:rsidRDefault="00963FF3" w:rsidP="008F486E">
      <w:pPr>
        <w:pStyle w:val="Prrafodelista"/>
        <w:numPr>
          <w:ilvl w:val="0"/>
          <w:numId w:val="39"/>
        </w:numPr>
        <w:spacing w:line="360" w:lineRule="auto"/>
        <w:jc w:val="both"/>
        <w:rPr>
          <w:rFonts w:ascii="Arial" w:hAnsi="Arial" w:cs="Arial"/>
          <w:b/>
          <w:i/>
          <w:sz w:val="24"/>
          <w:szCs w:val="24"/>
        </w:rPr>
      </w:pPr>
      <w:r w:rsidRPr="008F486E">
        <w:rPr>
          <w:rFonts w:ascii="Arial" w:hAnsi="Arial" w:cs="Arial"/>
          <w:b/>
          <w:i/>
          <w:sz w:val="24"/>
          <w:szCs w:val="24"/>
        </w:rPr>
        <w:t>Competitividad</w:t>
      </w:r>
    </w:p>
    <w:p w:rsidR="003E62FF" w:rsidRPr="008F486E" w:rsidRDefault="003E087D" w:rsidP="008F486E">
      <w:pPr>
        <w:spacing w:line="360" w:lineRule="auto"/>
        <w:ind w:firstLine="360"/>
        <w:jc w:val="both"/>
        <w:rPr>
          <w:rFonts w:ascii="Arial" w:hAnsi="Arial" w:cs="Arial"/>
          <w:sz w:val="24"/>
          <w:szCs w:val="24"/>
        </w:rPr>
      </w:pPr>
      <w:r w:rsidRPr="008F486E">
        <w:rPr>
          <w:rFonts w:ascii="Arial" w:hAnsi="Arial" w:cs="Arial"/>
          <w:sz w:val="24"/>
          <w:szCs w:val="24"/>
        </w:rPr>
        <w:t>E</w:t>
      </w:r>
      <w:r w:rsidR="00830990" w:rsidRPr="008F486E">
        <w:rPr>
          <w:rFonts w:ascii="Arial" w:hAnsi="Arial" w:cs="Arial"/>
          <w:sz w:val="24"/>
          <w:szCs w:val="24"/>
        </w:rPr>
        <w:t>l espacio no constituye un coste para la ciudadanía eu</w:t>
      </w:r>
      <w:r w:rsidR="00190BB1" w:rsidRPr="008F486E">
        <w:rPr>
          <w:rFonts w:ascii="Arial" w:hAnsi="Arial" w:cs="Arial"/>
          <w:sz w:val="24"/>
          <w:szCs w:val="24"/>
        </w:rPr>
        <w:t>ropea, sino una inversión. U</w:t>
      </w:r>
      <w:r w:rsidR="00830990" w:rsidRPr="008F486E">
        <w:rPr>
          <w:rFonts w:ascii="Arial" w:hAnsi="Arial" w:cs="Arial"/>
          <w:sz w:val="24"/>
          <w:szCs w:val="24"/>
        </w:rPr>
        <w:t>na estrategia espacial ambiciosa puede garantizar la autonomía y el posicionamiento de la Unión impulsando, al mismo tiempo, el crecimiento, la competitividad y la creación de empleo en la industria espacial, las operaciones espaciales y los servicios derivados</w:t>
      </w:r>
      <w:r w:rsidR="005C61D3" w:rsidRPr="008F486E">
        <w:rPr>
          <w:rFonts w:ascii="Arial" w:hAnsi="Arial" w:cs="Arial"/>
          <w:sz w:val="24"/>
          <w:szCs w:val="24"/>
        </w:rPr>
        <w:t>, basándose en una competencia leal</w:t>
      </w:r>
      <w:r w:rsidR="00823B21" w:rsidRPr="008F486E">
        <w:rPr>
          <w:rFonts w:ascii="Arial" w:hAnsi="Arial" w:cs="Arial"/>
          <w:sz w:val="24"/>
          <w:szCs w:val="24"/>
        </w:rPr>
        <w:t>,</w:t>
      </w:r>
      <w:r w:rsidR="005C61D3" w:rsidRPr="008F486E">
        <w:rPr>
          <w:rFonts w:ascii="Arial" w:hAnsi="Arial" w:cs="Arial"/>
          <w:sz w:val="24"/>
          <w:szCs w:val="24"/>
        </w:rPr>
        <w:t xml:space="preserve"> reforzando el uso de sistemas de contratación inno</w:t>
      </w:r>
      <w:r w:rsidR="00190BB1" w:rsidRPr="008F486E">
        <w:rPr>
          <w:rFonts w:ascii="Arial" w:hAnsi="Arial" w:cs="Arial"/>
          <w:sz w:val="24"/>
          <w:szCs w:val="24"/>
        </w:rPr>
        <w:t>vadores</w:t>
      </w:r>
      <w:r w:rsidR="00823B21" w:rsidRPr="008F486E">
        <w:rPr>
          <w:rFonts w:ascii="Arial" w:hAnsi="Arial" w:cs="Arial"/>
          <w:sz w:val="24"/>
          <w:szCs w:val="24"/>
        </w:rPr>
        <w:t xml:space="preserve"> </w:t>
      </w:r>
      <w:r w:rsidR="00190BB1" w:rsidRPr="008F486E">
        <w:rPr>
          <w:rFonts w:ascii="Arial" w:hAnsi="Arial" w:cs="Arial"/>
          <w:sz w:val="24"/>
          <w:szCs w:val="24"/>
        </w:rPr>
        <w:t>y</w:t>
      </w:r>
      <w:r w:rsidR="00823B21" w:rsidRPr="008F486E">
        <w:rPr>
          <w:rFonts w:ascii="Arial" w:hAnsi="Arial" w:cs="Arial"/>
          <w:sz w:val="24"/>
          <w:szCs w:val="24"/>
        </w:rPr>
        <w:t xml:space="preserve"> ayudando</w:t>
      </w:r>
      <w:r w:rsidR="00190BB1" w:rsidRPr="008F486E">
        <w:rPr>
          <w:rFonts w:ascii="Arial" w:hAnsi="Arial" w:cs="Arial"/>
          <w:sz w:val="24"/>
          <w:szCs w:val="24"/>
        </w:rPr>
        <w:t xml:space="preserve"> a las empresas europeas a acceder a los mercados mundiales.</w:t>
      </w:r>
      <w:r w:rsidR="007723E3" w:rsidRPr="008F486E">
        <w:rPr>
          <w:rFonts w:ascii="Arial" w:hAnsi="Arial" w:cs="Arial"/>
          <w:sz w:val="24"/>
          <w:szCs w:val="24"/>
        </w:rPr>
        <w:t xml:space="preserve"> </w:t>
      </w:r>
      <w:r w:rsidR="005C61D3" w:rsidRPr="008F486E">
        <w:rPr>
          <w:rFonts w:ascii="Arial" w:hAnsi="Arial" w:cs="Arial"/>
          <w:sz w:val="24"/>
          <w:szCs w:val="24"/>
        </w:rPr>
        <w:t>El sector espacial europeo debe mantener su ventaja ante las rápid</w:t>
      </w:r>
      <w:r w:rsidR="00950D47" w:rsidRPr="008F486E">
        <w:rPr>
          <w:rFonts w:ascii="Arial" w:hAnsi="Arial" w:cs="Arial"/>
          <w:sz w:val="24"/>
          <w:szCs w:val="24"/>
        </w:rPr>
        <w:t xml:space="preserve">as innovaciones como la </w:t>
      </w:r>
      <w:r w:rsidR="005C61D3" w:rsidRPr="008F486E">
        <w:rPr>
          <w:rFonts w:ascii="Arial" w:hAnsi="Arial" w:cs="Arial"/>
          <w:sz w:val="24"/>
          <w:szCs w:val="24"/>
        </w:rPr>
        <w:t>aparición de nuevos modelos empresariales y la creciente competencia mundial. La financiación de la</w:t>
      </w:r>
      <w:r w:rsidR="00950D47" w:rsidRPr="008F486E">
        <w:rPr>
          <w:rFonts w:ascii="Arial" w:hAnsi="Arial" w:cs="Arial"/>
          <w:sz w:val="24"/>
          <w:szCs w:val="24"/>
        </w:rPr>
        <w:t xml:space="preserve"> </w:t>
      </w:r>
      <w:r w:rsidR="005C61D3" w:rsidRPr="008F486E">
        <w:rPr>
          <w:rFonts w:ascii="Arial" w:hAnsi="Arial" w:cs="Arial"/>
          <w:sz w:val="24"/>
          <w:szCs w:val="24"/>
        </w:rPr>
        <w:t>UE estará más orientada a los emprendedores espaciales que empiezan y se expanden en el mercado</w:t>
      </w:r>
      <w:r w:rsidR="00950D47" w:rsidRPr="008F486E">
        <w:rPr>
          <w:rFonts w:ascii="Arial" w:hAnsi="Arial" w:cs="Arial"/>
          <w:sz w:val="24"/>
          <w:szCs w:val="24"/>
        </w:rPr>
        <w:t xml:space="preserve"> </w:t>
      </w:r>
      <w:r w:rsidR="005C61D3" w:rsidRPr="008F486E">
        <w:rPr>
          <w:rFonts w:ascii="Arial" w:hAnsi="Arial" w:cs="Arial"/>
          <w:sz w:val="24"/>
          <w:szCs w:val="24"/>
        </w:rPr>
        <w:t>único</w:t>
      </w:r>
      <w:r w:rsidR="00950D47" w:rsidRPr="008F486E">
        <w:rPr>
          <w:rFonts w:ascii="Arial" w:hAnsi="Arial" w:cs="Arial"/>
          <w:sz w:val="24"/>
          <w:szCs w:val="24"/>
        </w:rPr>
        <w:t xml:space="preserve"> y</w:t>
      </w:r>
      <w:r w:rsidR="005C61D3" w:rsidRPr="008F486E">
        <w:rPr>
          <w:rFonts w:ascii="Arial" w:hAnsi="Arial" w:cs="Arial"/>
          <w:sz w:val="24"/>
          <w:szCs w:val="24"/>
        </w:rPr>
        <w:t xml:space="preserve"> fomentará la inversión privada para las empresas emergentes, en</w:t>
      </w:r>
      <w:r w:rsidR="00950D47" w:rsidRPr="008F486E">
        <w:rPr>
          <w:rFonts w:ascii="Arial" w:hAnsi="Arial" w:cs="Arial"/>
          <w:sz w:val="24"/>
          <w:szCs w:val="24"/>
        </w:rPr>
        <w:t xml:space="preserve"> </w:t>
      </w:r>
      <w:r w:rsidR="005C61D3" w:rsidRPr="008F486E">
        <w:rPr>
          <w:rFonts w:ascii="Arial" w:hAnsi="Arial" w:cs="Arial"/>
          <w:sz w:val="24"/>
          <w:szCs w:val="24"/>
        </w:rPr>
        <w:t>particular en el contexto del Plan de Inversiones para Europa y el futuro Fondo de Fondos de Capital</w:t>
      </w:r>
      <w:r w:rsidR="00950D47" w:rsidRPr="008F486E">
        <w:rPr>
          <w:rFonts w:ascii="Arial" w:hAnsi="Arial" w:cs="Arial"/>
          <w:sz w:val="24"/>
          <w:szCs w:val="24"/>
        </w:rPr>
        <w:t xml:space="preserve"> </w:t>
      </w:r>
      <w:r w:rsidR="005C61D3" w:rsidRPr="008F486E">
        <w:rPr>
          <w:rFonts w:ascii="Arial" w:hAnsi="Arial" w:cs="Arial"/>
          <w:sz w:val="24"/>
          <w:szCs w:val="24"/>
        </w:rPr>
        <w:t xml:space="preserve">Riesgo. </w:t>
      </w:r>
      <w:r w:rsidR="003E62FF" w:rsidRPr="008F486E">
        <w:rPr>
          <w:rFonts w:ascii="Arial" w:hAnsi="Arial" w:cs="Arial"/>
          <w:sz w:val="24"/>
          <w:szCs w:val="24"/>
        </w:rPr>
        <w:t>Europa en su conjunto es un act</w:t>
      </w:r>
      <w:r w:rsidR="002068AF" w:rsidRPr="008F486E">
        <w:rPr>
          <w:rFonts w:ascii="Arial" w:hAnsi="Arial" w:cs="Arial"/>
          <w:sz w:val="24"/>
          <w:szCs w:val="24"/>
        </w:rPr>
        <w:t>or espacial mundial fundamental, t</w:t>
      </w:r>
      <w:r w:rsidR="003E62FF" w:rsidRPr="008F486E">
        <w:rPr>
          <w:rFonts w:ascii="Arial" w:hAnsi="Arial" w:cs="Arial"/>
          <w:sz w:val="24"/>
          <w:szCs w:val="24"/>
        </w:rPr>
        <w:t>iene una industria fuerte y competitiva, emplea a más de 230 000 profesionales y genera un valor añadido estimado de entre 46</w:t>
      </w:r>
      <w:r w:rsidR="002068AF" w:rsidRPr="008F486E">
        <w:rPr>
          <w:rFonts w:ascii="Arial" w:hAnsi="Arial" w:cs="Arial"/>
          <w:sz w:val="24"/>
          <w:szCs w:val="24"/>
        </w:rPr>
        <w:t>.</w:t>
      </w:r>
      <w:r w:rsidR="003E62FF" w:rsidRPr="008F486E">
        <w:rPr>
          <w:rFonts w:ascii="Arial" w:hAnsi="Arial" w:cs="Arial"/>
          <w:sz w:val="24"/>
          <w:szCs w:val="24"/>
        </w:rPr>
        <w:t>000 y 54</w:t>
      </w:r>
      <w:r w:rsidR="002068AF" w:rsidRPr="008F486E">
        <w:rPr>
          <w:rFonts w:ascii="Arial" w:hAnsi="Arial" w:cs="Arial"/>
          <w:sz w:val="24"/>
          <w:szCs w:val="24"/>
        </w:rPr>
        <w:t>.000 millones de E</w:t>
      </w:r>
      <w:r w:rsidR="003E62FF" w:rsidRPr="008F486E">
        <w:rPr>
          <w:rFonts w:ascii="Arial" w:hAnsi="Arial" w:cs="Arial"/>
          <w:sz w:val="24"/>
          <w:szCs w:val="24"/>
        </w:rPr>
        <w:t>uros. Europa fabrica un tercio de los satélites de todo el mundo</w:t>
      </w:r>
      <w:r w:rsidR="00823B21" w:rsidRPr="008F486E">
        <w:rPr>
          <w:rFonts w:ascii="Arial" w:hAnsi="Arial" w:cs="Arial"/>
          <w:sz w:val="24"/>
          <w:szCs w:val="24"/>
        </w:rPr>
        <w:t xml:space="preserve"> además de los beneficios que obtendrá de sus programas espaciales c</w:t>
      </w:r>
      <w:r w:rsidR="00190BB1" w:rsidRPr="008F486E">
        <w:rPr>
          <w:rFonts w:ascii="Arial" w:hAnsi="Arial" w:cs="Arial"/>
          <w:sz w:val="24"/>
          <w:szCs w:val="24"/>
        </w:rPr>
        <w:t xml:space="preserve">omo </w:t>
      </w:r>
      <w:proofErr w:type="spellStart"/>
      <w:r w:rsidR="00190BB1" w:rsidRPr="008F486E">
        <w:rPr>
          <w:rFonts w:ascii="Arial" w:hAnsi="Arial" w:cs="Arial"/>
          <w:sz w:val="24"/>
          <w:szCs w:val="24"/>
        </w:rPr>
        <w:t>Copernicus</w:t>
      </w:r>
      <w:proofErr w:type="spellEnd"/>
      <w:r w:rsidR="005305A9" w:rsidRPr="008F486E">
        <w:rPr>
          <w:rStyle w:val="Refdenotaalpie"/>
          <w:rFonts w:ascii="Arial" w:hAnsi="Arial" w:cs="Arial"/>
          <w:sz w:val="24"/>
          <w:szCs w:val="24"/>
        </w:rPr>
        <w:footnoteReference w:id="82"/>
      </w:r>
      <w:r w:rsidR="00190BB1" w:rsidRPr="008F486E">
        <w:rPr>
          <w:rFonts w:ascii="Arial" w:hAnsi="Arial" w:cs="Arial"/>
          <w:sz w:val="24"/>
          <w:szCs w:val="24"/>
        </w:rPr>
        <w:t xml:space="preserve">, </w:t>
      </w:r>
      <w:r w:rsidR="00190BB1" w:rsidRPr="008F486E">
        <w:rPr>
          <w:rFonts w:ascii="Arial" w:hAnsi="Arial" w:cs="Arial"/>
          <w:sz w:val="24"/>
          <w:szCs w:val="24"/>
        </w:rPr>
        <w:lastRenderedPageBreak/>
        <w:t>Galileo y EGNOS que harán viable la fabricación de la nueva generación de lanzadores Ariane 6 y Vega C, participando España en el desarrollo de ambos programas.</w:t>
      </w:r>
    </w:p>
    <w:p w:rsidR="00963FF3" w:rsidRPr="008F486E" w:rsidRDefault="008A31E4" w:rsidP="008F486E">
      <w:pPr>
        <w:spacing w:line="360" w:lineRule="auto"/>
        <w:jc w:val="both"/>
        <w:rPr>
          <w:rFonts w:ascii="Arial" w:hAnsi="Arial" w:cs="Arial"/>
          <w:sz w:val="24"/>
          <w:szCs w:val="24"/>
        </w:rPr>
      </w:pPr>
      <w:r w:rsidRPr="008F486E">
        <w:rPr>
          <w:rFonts w:ascii="Arial" w:hAnsi="Arial" w:cs="Arial"/>
          <w:sz w:val="24"/>
          <w:szCs w:val="24"/>
        </w:rPr>
        <w:tab/>
        <w:t>Hemos de tener en cuenta que</w:t>
      </w:r>
      <w:r w:rsidR="0037448F" w:rsidRPr="008F486E">
        <w:rPr>
          <w:rFonts w:ascii="Arial" w:hAnsi="Arial" w:cs="Arial"/>
          <w:sz w:val="24"/>
          <w:szCs w:val="24"/>
        </w:rPr>
        <w:t xml:space="preserve"> Europa necesita un</w:t>
      </w:r>
      <w:r w:rsidR="00C96813" w:rsidRPr="008F486E">
        <w:rPr>
          <w:rFonts w:ascii="Arial" w:hAnsi="Arial" w:cs="Arial"/>
          <w:sz w:val="24"/>
          <w:szCs w:val="24"/>
        </w:rPr>
        <w:t xml:space="preserve"> marco regulador global para mejorar la coherencia jurídica y favorecer el surgimiento de un mercado europeo de productos y servicios espaciales</w:t>
      </w:r>
      <w:r w:rsidR="00C57C47" w:rsidRPr="008F486E">
        <w:rPr>
          <w:rFonts w:ascii="Arial" w:hAnsi="Arial" w:cs="Arial"/>
          <w:sz w:val="24"/>
          <w:szCs w:val="24"/>
        </w:rPr>
        <w:t>, entre ellos, los procedentes de los satélites de observación de la Tierra y sobre todo la cuestión de la definición y control de los datos satelitales</w:t>
      </w:r>
      <w:r w:rsidR="00C50355" w:rsidRPr="008F486E">
        <w:rPr>
          <w:rStyle w:val="Refdenotaalpie"/>
          <w:rFonts w:ascii="Arial" w:hAnsi="Arial" w:cs="Arial"/>
          <w:sz w:val="24"/>
          <w:szCs w:val="24"/>
        </w:rPr>
        <w:footnoteReference w:id="83"/>
      </w:r>
      <w:r w:rsidR="00C57C47" w:rsidRPr="008F486E">
        <w:rPr>
          <w:rFonts w:ascii="Arial" w:hAnsi="Arial" w:cs="Arial"/>
          <w:sz w:val="24"/>
          <w:szCs w:val="24"/>
        </w:rPr>
        <w:t xml:space="preserve"> de alta resolución (</w:t>
      </w:r>
      <w:r w:rsidR="00C57C47" w:rsidRPr="008F486E">
        <w:rPr>
          <w:rFonts w:ascii="Arial" w:hAnsi="Arial" w:cs="Arial"/>
          <w:i/>
          <w:sz w:val="24"/>
          <w:szCs w:val="24"/>
        </w:rPr>
        <w:t>DSAR</w:t>
      </w:r>
      <w:r w:rsidR="00C57C47" w:rsidRPr="008F486E">
        <w:rPr>
          <w:rFonts w:ascii="Arial" w:hAnsi="Arial" w:cs="Arial"/>
          <w:sz w:val="24"/>
          <w:szCs w:val="24"/>
        </w:rPr>
        <w:t>) como una categoría diferente de datos, que requiere un régimen legislativo diferenciado cuando se difunde con fines comerciales</w:t>
      </w:r>
      <w:r w:rsidR="00E06637" w:rsidRPr="008F486E">
        <w:rPr>
          <w:rFonts w:ascii="Arial" w:hAnsi="Arial" w:cs="Arial"/>
          <w:sz w:val="24"/>
          <w:szCs w:val="24"/>
        </w:rPr>
        <w:t>. Este es el motivo de la propuesta de Directiva de la UE de 2014</w:t>
      </w:r>
      <w:r w:rsidR="00C96813" w:rsidRPr="008F486E">
        <w:rPr>
          <w:rStyle w:val="Refdenotaalpie"/>
          <w:rFonts w:ascii="Arial" w:hAnsi="Arial" w:cs="Arial"/>
          <w:sz w:val="24"/>
          <w:szCs w:val="24"/>
        </w:rPr>
        <w:footnoteReference w:id="84"/>
      </w:r>
      <w:r w:rsidR="00C96813" w:rsidRPr="008F486E">
        <w:rPr>
          <w:rFonts w:ascii="Arial" w:hAnsi="Arial" w:cs="Arial"/>
          <w:sz w:val="24"/>
          <w:szCs w:val="24"/>
        </w:rPr>
        <w:t xml:space="preserve"> </w:t>
      </w:r>
      <w:r w:rsidR="00E06637" w:rsidRPr="008F486E">
        <w:rPr>
          <w:rFonts w:ascii="Arial" w:hAnsi="Arial" w:cs="Arial"/>
          <w:sz w:val="24"/>
          <w:szCs w:val="24"/>
        </w:rPr>
        <w:t xml:space="preserve"> donde se intenta establecer </w:t>
      </w:r>
      <w:r w:rsidR="00C57C47" w:rsidRPr="008F486E">
        <w:rPr>
          <w:rFonts w:ascii="Arial" w:hAnsi="Arial" w:cs="Arial"/>
          <w:sz w:val="24"/>
          <w:szCs w:val="24"/>
        </w:rPr>
        <w:t xml:space="preserve">un marco jurídico transparente, equilibrado y coherente en todos los Estados miembros </w:t>
      </w:r>
      <w:r w:rsidR="00E06637" w:rsidRPr="008F486E">
        <w:rPr>
          <w:rFonts w:ascii="Arial" w:hAnsi="Arial" w:cs="Arial"/>
          <w:sz w:val="24"/>
          <w:szCs w:val="24"/>
        </w:rPr>
        <w:t>para que el mercado de la Unión desarrolle todo su potencial</w:t>
      </w:r>
      <w:r w:rsidR="00C96813" w:rsidRPr="008F486E">
        <w:rPr>
          <w:rFonts w:ascii="Arial" w:hAnsi="Arial" w:cs="Arial"/>
          <w:sz w:val="24"/>
          <w:szCs w:val="24"/>
        </w:rPr>
        <w:t xml:space="preserve"> y competitividad</w:t>
      </w:r>
      <w:r w:rsidR="00E06637" w:rsidRPr="008F486E">
        <w:rPr>
          <w:rFonts w:ascii="Arial" w:hAnsi="Arial" w:cs="Arial"/>
          <w:sz w:val="24"/>
          <w:szCs w:val="24"/>
        </w:rPr>
        <w:t>, reduciendo las barreras burocráticas para la</w:t>
      </w:r>
      <w:r w:rsidR="00C96813" w:rsidRPr="008F486E">
        <w:rPr>
          <w:rFonts w:ascii="Arial" w:hAnsi="Arial" w:cs="Arial"/>
          <w:sz w:val="24"/>
          <w:szCs w:val="24"/>
        </w:rPr>
        <w:t xml:space="preserve"> industria, facilitando</w:t>
      </w:r>
      <w:r w:rsidR="00E06637" w:rsidRPr="008F486E">
        <w:rPr>
          <w:rFonts w:ascii="Arial" w:hAnsi="Arial" w:cs="Arial"/>
          <w:sz w:val="24"/>
          <w:szCs w:val="24"/>
        </w:rPr>
        <w:t xml:space="preserve"> el cumplimiento de los requisitos legales, </w:t>
      </w:r>
      <w:r w:rsidR="00C96813" w:rsidRPr="008F486E">
        <w:rPr>
          <w:rFonts w:ascii="Arial" w:hAnsi="Arial" w:cs="Arial"/>
          <w:sz w:val="24"/>
          <w:szCs w:val="24"/>
        </w:rPr>
        <w:t>aportando mejores</w:t>
      </w:r>
      <w:r w:rsidR="00E06637" w:rsidRPr="008F486E">
        <w:rPr>
          <w:rFonts w:ascii="Arial" w:hAnsi="Arial" w:cs="Arial"/>
          <w:sz w:val="24"/>
          <w:szCs w:val="24"/>
        </w:rPr>
        <w:t xml:space="preserve"> condiciones para el establecimiento y funcionamiento de las empresas </w:t>
      </w:r>
      <w:r w:rsidR="00C96813" w:rsidRPr="008F486E">
        <w:rPr>
          <w:rFonts w:ascii="Arial" w:hAnsi="Arial" w:cs="Arial"/>
          <w:sz w:val="24"/>
          <w:szCs w:val="24"/>
        </w:rPr>
        <w:t xml:space="preserve">y </w:t>
      </w:r>
      <w:r w:rsidR="00E06637" w:rsidRPr="008F486E">
        <w:rPr>
          <w:rFonts w:ascii="Arial" w:hAnsi="Arial" w:cs="Arial"/>
          <w:sz w:val="24"/>
          <w:szCs w:val="24"/>
        </w:rPr>
        <w:t>reduciéndose las pérdidas de negocio derivadas de la ausencia de unas condiciones claras y previsibles para la adquisición de datos</w:t>
      </w:r>
      <w:r w:rsidR="00C96813" w:rsidRPr="008F486E">
        <w:rPr>
          <w:rFonts w:ascii="Arial" w:hAnsi="Arial" w:cs="Arial"/>
          <w:sz w:val="24"/>
          <w:szCs w:val="24"/>
        </w:rPr>
        <w:t>.</w:t>
      </w:r>
      <w:r w:rsidR="002F4FC5" w:rsidRPr="008F486E">
        <w:rPr>
          <w:rFonts w:ascii="Arial" w:hAnsi="Arial" w:cs="Arial"/>
          <w:sz w:val="24"/>
          <w:szCs w:val="24"/>
        </w:rPr>
        <w:t xml:space="preserve"> </w:t>
      </w:r>
      <w:r w:rsidR="00544360" w:rsidRPr="008F486E">
        <w:rPr>
          <w:rFonts w:ascii="Arial" w:hAnsi="Arial" w:cs="Arial"/>
          <w:sz w:val="24"/>
          <w:szCs w:val="24"/>
        </w:rPr>
        <w:t>En definitiva, la UE quiere conseguir una industria espacial europea competitiva, independiente y global y para ello es necesario</w:t>
      </w:r>
      <w:r w:rsidR="000418F7" w:rsidRPr="008F486E">
        <w:rPr>
          <w:rFonts w:ascii="Arial" w:hAnsi="Arial" w:cs="Arial"/>
          <w:sz w:val="24"/>
          <w:szCs w:val="24"/>
        </w:rPr>
        <w:t xml:space="preserve"> regular sus actividades de un modo coherente y </w:t>
      </w:r>
      <w:r w:rsidR="00544360" w:rsidRPr="008F486E">
        <w:rPr>
          <w:rFonts w:ascii="Arial" w:hAnsi="Arial" w:cs="Arial"/>
          <w:sz w:val="24"/>
          <w:szCs w:val="24"/>
        </w:rPr>
        <w:t>reforzar el sector espacial impulsando la investigación y la innovación.</w:t>
      </w:r>
    </w:p>
    <w:p w:rsidR="00FA7A4B" w:rsidRPr="008F486E" w:rsidRDefault="00FA7A4B" w:rsidP="008F486E">
      <w:pPr>
        <w:spacing w:line="360" w:lineRule="auto"/>
        <w:jc w:val="both"/>
        <w:rPr>
          <w:rFonts w:ascii="Arial" w:hAnsi="Arial" w:cs="Arial"/>
          <w:sz w:val="24"/>
          <w:szCs w:val="24"/>
        </w:rPr>
      </w:pPr>
    </w:p>
    <w:p w:rsidR="00122A3E" w:rsidRPr="008F486E" w:rsidRDefault="00963FF3" w:rsidP="008F486E">
      <w:pPr>
        <w:pStyle w:val="Prrafodelista"/>
        <w:numPr>
          <w:ilvl w:val="0"/>
          <w:numId w:val="39"/>
        </w:numPr>
        <w:spacing w:line="360" w:lineRule="auto"/>
        <w:jc w:val="both"/>
        <w:rPr>
          <w:rFonts w:ascii="Arial" w:hAnsi="Arial" w:cs="Arial"/>
          <w:b/>
          <w:i/>
          <w:sz w:val="24"/>
          <w:szCs w:val="24"/>
        </w:rPr>
      </w:pPr>
      <w:r w:rsidRPr="008F486E">
        <w:rPr>
          <w:rFonts w:ascii="Arial" w:hAnsi="Arial" w:cs="Arial"/>
          <w:b/>
          <w:i/>
          <w:sz w:val="24"/>
          <w:szCs w:val="24"/>
        </w:rPr>
        <w:t>Seguridad y Defensa</w:t>
      </w:r>
    </w:p>
    <w:p w:rsidR="00E96262" w:rsidRPr="008F486E" w:rsidRDefault="00F81FE4" w:rsidP="008F486E">
      <w:pPr>
        <w:spacing w:line="360" w:lineRule="auto"/>
        <w:ind w:firstLine="360"/>
        <w:jc w:val="both"/>
        <w:rPr>
          <w:rFonts w:ascii="Arial" w:hAnsi="Arial" w:cs="Arial"/>
          <w:sz w:val="24"/>
          <w:szCs w:val="24"/>
        </w:rPr>
      </w:pPr>
      <w:r w:rsidRPr="008F486E">
        <w:rPr>
          <w:rFonts w:ascii="Arial" w:hAnsi="Arial" w:cs="Arial"/>
          <w:sz w:val="24"/>
          <w:szCs w:val="24"/>
        </w:rPr>
        <w:t xml:space="preserve">El alcance mundial de los problemas que afectan a la seguridad de las redes y sistemas de información hace necesaria una mayor cooperación internacional para mejorar las normas de seguridad y el intercambio de </w:t>
      </w:r>
      <w:r w:rsidRPr="008F486E">
        <w:rPr>
          <w:rFonts w:ascii="Arial" w:hAnsi="Arial" w:cs="Arial"/>
          <w:sz w:val="24"/>
          <w:szCs w:val="24"/>
        </w:rPr>
        <w:lastRenderedPageBreak/>
        <w:t>información a nivel global. En este senti</w:t>
      </w:r>
      <w:r w:rsidR="00E0086D" w:rsidRPr="008F486E">
        <w:rPr>
          <w:rFonts w:ascii="Arial" w:hAnsi="Arial" w:cs="Arial"/>
          <w:sz w:val="24"/>
          <w:szCs w:val="24"/>
        </w:rPr>
        <w:t>do, la Directiva UE 2016/1148 d</w:t>
      </w:r>
      <w:r w:rsidRPr="008F486E">
        <w:rPr>
          <w:rFonts w:ascii="Arial" w:hAnsi="Arial" w:cs="Arial"/>
          <w:sz w:val="24"/>
          <w:szCs w:val="24"/>
        </w:rPr>
        <w:t>el Parlamento Europeo y del Consejo</w:t>
      </w:r>
      <w:r w:rsidR="00E0086D" w:rsidRPr="008F486E">
        <w:rPr>
          <w:rStyle w:val="Refdenotaalpie"/>
          <w:rFonts w:ascii="Arial" w:hAnsi="Arial" w:cs="Arial"/>
          <w:sz w:val="24"/>
          <w:szCs w:val="24"/>
        </w:rPr>
        <w:footnoteReference w:id="85"/>
      </w:r>
      <w:r w:rsidRPr="008F486E">
        <w:rPr>
          <w:rFonts w:ascii="Arial" w:hAnsi="Arial" w:cs="Arial"/>
          <w:sz w:val="24"/>
          <w:szCs w:val="24"/>
        </w:rPr>
        <w:t xml:space="preserve"> se aplica las administraciones públicas que hayan sido identificadas como operadores de servicios esenciales, por tanto, es </w:t>
      </w:r>
      <w:r w:rsidR="00881777" w:rsidRPr="008F486E">
        <w:rPr>
          <w:rFonts w:ascii="Arial" w:hAnsi="Arial" w:cs="Arial"/>
          <w:sz w:val="24"/>
          <w:szCs w:val="24"/>
        </w:rPr>
        <w:t>responsabilidad de los Estados m</w:t>
      </w:r>
      <w:r w:rsidRPr="008F486E">
        <w:rPr>
          <w:rFonts w:ascii="Arial" w:hAnsi="Arial" w:cs="Arial"/>
          <w:sz w:val="24"/>
          <w:szCs w:val="24"/>
        </w:rPr>
        <w:t xml:space="preserve">iembros garantizar la seguridad de las redes y los sistemas de información de las administraciones públicas que no estén incluidos en el ámbito de esta Directiva. Entre las medidas de gestión del riesgo figuran aquellas cuya finalidad es prevenir, detectar y gestionar incidentes así como mitigar sus repercusiones. La seguridad de las redes y sistemas de información comprenden la seguridad de los datos conservados, transmitidos y procesados. Esta Directiva se aplica también a </w:t>
      </w:r>
      <w:r w:rsidR="00E0086D" w:rsidRPr="008F486E">
        <w:rPr>
          <w:rFonts w:ascii="Arial" w:hAnsi="Arial" w:cs="Arial"/>
          <w:sz w:val="24"/>
          <w:szCs w:val="24"/>
        </w:rPr>
        <w:t xml:space="preserve">los proveedores de servicios digitales para el buen funcionamiento de las empresas de la Unión que recurren para prestar sus propios servicios a estos proveedores. La perturbación de un servicio digital puede impedir la prestación de otros servicios que dependan de él y afectar a aquellas actividades económicas y sociales que resultan fundamentales en la Unión. Ha de tenerse en cuenta que aunque los fabricantes de equipos informáticos y quienes desarrollan programas informáticos no sean operadores de servicios esenciales ni proveedores de servicios digitales, sus productos facilitan la seguridad de las redes y sistemas de información. </w:t>
      </w:r>
    </w:p>
    <w:p w:rsidR="007A0C61" w:rsidRPr="008F486E" w:rsidRDefault="00E96262" w:rsidP="008F486E">
      <w:pPr>
        <w:spacing w:line="360" w:lineRule="auto"/>
        <w:ind w:firstLine="360"/>
        <w:jc w:val="both"/>
        <w:rPr>
          <w:rFonts w:ascii="Arial" w:hAnsi="Arial" w:cs="Arial"/>
          <w:sz w:val="24"/>
          <w:szCs w:val="24"/>
        </w:rPr>
      </w:pPr>
      <w:r w:rsidRPr="008F486E">
        <w:rPr>
          <w:rFonts w:ascii="Arial" w:hAnsi="Arial" w:cs="Arial"/>
          <w:sz w:val="24"/>
          <w:szCs w:val="24"/>
        </w:rPr>
        <w:t>Respecto a los servicios digitales, el Consejo de la UE solicitó el 11 de octubre de 2017 que se iniciaran las negociaciones con el Parlamento Europeo sobre una nueva normativa aplicable al sector de las comunicaciones electrónicas con el objetivo de crear el mercado europeo único digital fomentando el 5G y la conectividad para estimular la competitividad y facilitar a las empresas la inversión en nuevas infraestructuras, sobre todo en las zonas más remotas. La normativa propu</w:t>
      </w:r>
      <w:r w:rsidR="00FF5C85" w:rsidRPr="008F486E">
        <w:rPr>
          <w:rFonts w:ascii="Arial" w:hAnsi="Arial" w:cs="Arial"/>
          <w:sz w:val="24"/>
          <w:szCs w:val="24"/>
        </w:rPr>
        <w:t>esta toma el nombr</w:t>
      </w:r>
      <w:r w:rsidR="007A0C61" w:rsidRPr="008F486E">
        <w:rPr>
          <w:rFonts w:ascii="Arial" w:hAnsi="Arial" w:cs="Arial"/>
          <w:sz w:val="24"/>
          <w:szCs w:val="24"/>
        </w:rPr>
        <w:t xml:space="preserve">e de </w:t>
      </w:r>
      <w:r w:rsidR="00FF5C85" w:rsidRPr="008F486E">
        <w:rPr>
          <w:rFonts w:ascii="Arial" w:hAnsi="Arial" w:cs="Arial"/>
          <w:i/>
          <w:sz w:val="24"/>
          <w:szCs w:val="24"/>
        </w:rPr>
        <w:t>Código E</w:t>
      </w:r>
      <w:r w:rsidRPr="008F486E">
        <w:rPr>
          <w:rFonts w:ascii="Arial" w:hAnsi="Arial" w:cs="Arial"/>
          <w:i/>
          <w:sz w:val="24"/>
          <w:szCs w:val="24"/>
        </w:rPr>
        <w:t xml:space="preserve">uropeo de </w:t>
      </w:r>
      <w:r w:rsidR="007A0C61" w:rsidRPr="008F486E">
        <w:rPr>
          <w:rFonts w:ascii="Arial" w:hAnsi="Arial" w:cs="Arial"/>
          <w:i/>
          <w:sz w:val="24"/>
          <w:szCs w:val="24"/>
        </w:rPr>
        <w:t>las Comunicaciones Electrónicas</w:t>
      </w:r>
      <w:r w:rsidR="00171FA3" w:rsidRPr="008F486E">
        <w:rPr>
          <w:rFonts w:ascii="Arial" w:hAnsi="Arial" w:cs="Arial"/>
          <w:sz w:val="24"/>
          <w:szCs w:val="24"/>
        </w:rPr>
        <w:t xml:space="preserve"> que protegerá al consumidor, permitirá que los operadores tengan acceso a las redes, cooperación de los Estados miembros en la gestión del espectro así como la expansión de servicios digitales innovadores como los automóviles conectados y autónomos, ciudades inteligentes y redes energéticas inteligentes. Los servicios de comunicaciones </w:t>
      </w:r>
      <w:r w:rsidR="00171FA3" w:rsidRPr="008F486E">
        <w:rPr>
          <w:rFonts w:ascii="Arial" w:hAnsi="Arial" w:cs="Arial"/>
          <w:sz w:val="24"/>
          <w:szCs w:val="24"/>
        </w:rPr>
        <w:lastRenderedPageBreak/>
        <w:t>electrónicas abarcarán también los servicios ofrecidos en internet, las aplicaciones de mensajería electrónica y el correo electrónico pues las normas actuales abarcan únicamente los servicios tradicionales vinculados a un número específico, como los mensajes de texto y las llamadas a redes fijas y móviles.</w:t>
      </w:r>
      <w:r w:rsidR="007749DA" w:rsidRPr="008F486E">
        <w:rPr>
          <w:rFonts w:ascii="Arial" w:hAnsi="Arial" w:cs="Arial"/>
          <w:sz w:val="24"/>
          <w:szCs w:val="24"/>
        </w:rPr>
        <w:t xml:space="preserve"> </w:t>
      </w:r>
      <w:r w:rsidR="00171FA3" w:rsidRPr="008F486E">
        <w:rPr>
          <w:rFonts w:ascii="Arial" w:hAnsi="Arial" w:cs="Arial"/>
          <w:sz w:val="24"/>
          <w:szCs w:val="24"/>
        </w:rPr>
        <w:t>El Consejo de Asuntos Generales de la UE</w:t>
      </w:r>
      <w:r w:rsidR="007749DA" w:rsidRPr="008F486E">
        <w:rPr>
          <w:rFonts w:ascii="Arial" w:hAnsi="Arial" w:cs="Arial"/>
          <w:sz w:val="24"/>
          <w:szCs w:val="24"/>
        </w:rPr>
        <w:t xml:space="preserve"> solicitó el 20 de noviembre de 2017 se reforzara la </w:t>
      </w:r>
      <w:proofErr w:type="spellStart"/>
      <w:r w:rsidR="007749DA" w:rsidRPr="008F486E">
        <w:rPr>
          <w:rFonts w:ascii="Arial" w:hAnsi="Arial" w:cs="Arial"/>
          <w:sz w:val="24"/>
          <w:szCs w:val="24"/>
        </w:rPr>
        <w:t>ciberseguridad</w:t>
      </w:r>
      <w:proofErr w:type="spellEnd"/>
      <w:r w:rsidR="002442E5" w:rsidRPr="008F486E">
        <w:rPr>
          <w:rStyle w:val="Refdenotaalpie"/>
          <w:rFonts w:ascii="Arial" w:hAnsi="Arial" w:cs="Arial"/>
          <w:sz w:val="24"/>
          <w:szCs w:val="24"/>
        </w:rPr>
        <w:footnoteReference w:id="86"/>
      </w:r>
      <w:r w:rsidR="007749DA" w:rsidRPr="008F486E">
        <w:rPr>
          <w:rFonts w:ascii="Arial" w:hAnsi="Arial" w:cs="Arial"/>
          <w:sz w:val="24"/>
          <w:szCs w:val="24"/>
        </w:rPr>
        <w:t xml:space="preserve"> y </w:t>
      </w:r>
      <w:proofErr w:type="spellStart"/>
      <w:r w:rsidR="007749DA" w:rsidRPr="008F486E">
        <w:rPr>
          <w:rFonts w:ascii="Arial" w:hAnsi="Arial" w:cs="Arial"/>
          <w:sz w:val="24"/>
          <w:szCs w:val="24"/>
        </w:rPr>
        <w:t>ciberresiliencia</w:t>
      </w:r>
      <w:proofErr w:type="spellEnd"/>
      <w:r w:rsidR="007749DA" w:rsidRPr="008F486E">
        <w:rPr>
          <w:rFonts w:ascii="Arial" w:hAnsi="Arial" w:cs="Arial"/>
          <w:sz w:val="24"/>
          <w:szCs w:val="24"/>
        </w:rPr>
        <w:t xml:space="preserve"> en Europa, manifestando la intención de crear una red de centros de competencia en la Unión y un plan a nivel mundial para aumentar la confianza en las soluciones digitales.</w:t>
      </w:r>
      <w:r w:rsidR="00701394" w:rsidRPr="008F486E">
        <w:rPr>
          <w:rFonts w:ascii="Arial" w:hAnsi="Arial" w:cs="Arial"/>
          <w:sz w:val="24"/>
          <w:szCs w:val="24"/>
        </w:rPr>
        <w:t xml:space="preserve"> </w:t>
      </w:r>
      <w:r w:rsidR="00926A2A" w:rsidRPr="008F486E">
        <w:rPr>
          <w:rFonts w:ascii="Arial" w:hAnsi="Arial" w:cs="Arial"/>
          <w:sz w:val="24"/>
          <w:szCs w:val="24"/>
        </w:rPr>
        <w:t>El Consejo adoptó el 31 de noviembre de 2017 sus orientaciones generales</w:t>
      </w:r>
      <w:r w:rsidR="00701394" w:rsidRPr="008F486E">
        <w:rPr>
          <w:rFonts w:ascii="Arial" w:hAnsi="Arial" w:cs="Arial"/>
          <w:sz w:val="24"/>
          <w:szCs w:val="24"/>
        </w:rPr>
        <w:t xml:space="preserve"> sobre la creación de un </w:t>
      </w:r>
      <w:r w:rsidR="00701394" w:rsidRPr="008F486E">
        <w:rPr>
          <w:rFonts w:ascii="Arial" w:hAnsi="Arial" w:cs="Arial"/>
          <w:i/>
          <w:sz w:val="24"/>
          <w:szCs w:val="24"/>
        </w:rPr>
        <w:t>portal digital único</w:t>
      </w:r>
      <w:r w:rsidR="00701394" w:rsidRPr="008F486E">
        <w:rPr>
          <w:rFonts w:ascii="Arial" w:hAnsi="Arial" w:cs="Arial"/>
          <w:sz w:val="24"/>
          <w:szCs w:val="24"/>
        </w:rPr>
        <w:t xml:space="preserve"> que proporcione información, procedimientos y servicios de asistencia y resolución de problemas en línea par</w:t>
      </w:r>
      <w:r w:rsidR="00926A2A" w:rsidRPr="008F486E">
        <w:rPr>
          <w:rFonts w:ascii="Arial" w:hAnsi="Arial" w:cs="Arial"/>
          <w:sz w:val="24"/>
          <w:szCs w:val="24"/>
        </w:rPr>
        <w:t xml:space="preserve">a los ciudadanos y las empresas “Tenemos que lograr que nuestros ciudadanos y empresas encuentren más fácilmente la información que necesitan, independientemente del lugar de la UE en el que vivan, trabajen o hagan negocios. La creación de una ventanilla única en línea es un medio adecuado para conseguirlo y ha sido una prioridad para la Presidencia estonia. Se trata de un nuevo paso hacia la digitalización de los servicios públicos en situaciones transfronterizas y de un avance más para que la </w:t>
      </w:r>
      <w:r w:rsidR="00BD5318" w:rsidRPr="008F486E">
        <w:rPr>
          <w:rFonts w:ascii="Arial" w:hAnsi="Arial" w:cs="Arial"/>
          <w:sz w:val="24"/>
          <w:szCs w:val="24"/>
        </w:rPr>
        <w:t>Europa digital sea una realidad”</w:t>
      </w:r>
      <w:r w:rsidR="00926A2A" w:rsidRPr="008F486E">
        <w:rPr>
          <w:rStyle w:val="Refdenotaalpie"/>
          <w:rFonts w:ascii="Arial" w:hAnsi="Arial" w:cs="Arial"/>
          <w:sz w:val="24"/>
          <w:szCs w:val="24"/>
        </w:rPr>
        <w:footnoteReference w:id="87"/>
      </w:r>
      <w:r w:rsidR="00926A2A" w:rsidRPr="008F486E">
        <w:rPr>
          <w:rFonts w:ascii="Arial" w:hAnsi="Arial" w:cs="Arial"/>
          <w:sz w:val="24"/>
          <w:szCs w:val="24"/>
        </w:rPr>
        <w:t>.</w:t>
      </w:r>
    </w:p>
    <w:p w:rsidR="00C50488" w:rsidRPr="008F486E" w:rsidRDefault="008039CE" w:rsidP="008F486E">
      <w:pPr>
        <w:spacing w:line="360" w:lineRule="auto"/>
        <w:ind w:firstLine="360"/>
        <w:jc w:val="both"/>
        <w:rPr>
          <w:rFonts w:ascii="Arial" w:hAnsi="Arial" w:cs="Arial"/>
          <w:sz w:val="24"/>
          <w:szCs w:val="24"/>
        </w:rPr>
      </w:pPr>
      <w:r w:rsidRPr="008F486E">
        <w:rPr>
          <w:rFonts w:ascii="Arial" w:hAnsi="Arial" w:cs="Arial"/>
          <w:sz w:val="24"/>
          <w:szCs w:val="24"/>
        </w:rPr>
        <w:t>Los recientes ciberataques coordinados en todo el mundo, cuya atribución ha resultado difícil, han demostrado la vulnerabilidad de nuestras sociedades e instituciones. En abril de 2016, la Comisión Europea y la Alta Representante</w:t>
      </w:r>
      <w:r w:rsidR="00565947" w:rsidRPr="008F486E">
        <w:rPr>
          <w:rFonts w:ascii="Arial" w:hAnsi="Arial" w:cs="Arial"/>
          <w:sz w:val="24"/>
          <w:szCs w:val="24"/>
        </w:rPr>
        <w:t xml:space="preserve"> para Asuntos Exteriores y Política de Seguridad</w:t>
      </w:r>
      <w:r w:rsidRPr="008F486E">
        <w:rPr>
          <w:rFonts w:ascii="Arial" w:hAnsi="Arial" w:cs="Arial"/>
          <w:sz w:val="24"/>
          <w:szCs w:val="24"/>
        </w:rPr>
        <w:t xml:space="preserve"> adoptaron una Comunicación conjunta sobre la lucha contra las </w:t>
      </w:r>
      <w:r w:rsidRPr="008F486E">
        <w:rPr>
          <w:rFonts w:ascii="Arial" w:hAnsi="Arial" w:cs="Arial"/>
          <w:i/>
          <w:sz w:val="24"/>
          <w:szCs w:val="24"/>
        </w:rPr>
        <w:t>amenazas híbridas</w:t>
      </w:r>
      <w:r w:rsidRPr="008F486E">
        <w:rPr>
          <w:rFonts w:ascii="Arial" w:hAnsi="Arial" w:cs="Arial"/>
          <w:sz w:val="24"/>
          <w:szCs w:val="24"/>
        </w:rPr>
        <w:t xml:space="preserve"> </w:t>
      </w:r>
      <w:r w:rsidR="00FF5C85" w:rsidRPr="008F486E">
        <w:rPr>
          <w:rFonts w:ascii="Arial" w:hAnsi="Arial" w:cs="Arial"/>
          <w:sz w:val="24"/>
          <w:szCs w:val="24"/>
        </w:rPr>
        <w:t>r</w:t>
      </w:r>
      <w:r w:rsidRPr="008F486E">
        <w:rPr>
          <w:rFonts w:ascii="Arial" w:hAnsi="Arial" w:cs="Arial"/>
          <w:sz w:val="24"/>
          <w:szCs w:val="24"/>
        </w:rPr>
        <w:t xml:space="preserve">econociendo la naturaleza compleja y transfronteriza </w:t>
      </w:r>
      <w:r w:rsidR="00FF5C85" w:rsidRPr="008F486E">
        <w:rPr>
          <w:rFonts w:ascii="Arial" w:hAnsi="Arial" w:cs="Arial"/>
          <w:sz w:val="24"/>
          <w:szCs w:val="24"/>
        </w:rPr>
        <w:t>de éstas</w:t>
      </w:r>
      <w:r w:rsidRPr="008F486E">
        <w:rPr>
          <w:rFonts w:ascii="Arial" w:hAnsi="Arial" w:cs="Arial"/>
          <w:sz w:val="24"/>
          <w:szCs w:val="24"/>
        </w:rPr>
        <w:t>, dicha Comunicación propone «una perspectiva de la administración en su conjunto» para reforzar la resiliencia general de n</w:t>
      </w:r>
      <w:r w:rsidR="00FF5C85" w:rsidRPr="008F486E">
        <w:rPr>
          <w:rFonts w:ascii="Arial" w:hAnsi="Arial" w:cs="Arial"/>
          <w:sz w:val="24"/>
          <w:szCs w:val="24"/>
        </w:rPr>
        <w:t xml:space="preserve">uestras sociedades aunque </w:t>
      </w:r>
      <w:r w:rsidRPr="008F486E">
        <w:rPr>
          <w:rFonts w:ascii="Arial" w:hAnsi="Arial" w:cs="Arial"/>
          <w:sz w:val="24"/>
          <w:szCs w:val="24"/>
        </w:rPr>
        <w:t xml:space="preserve"> la responsabilidad principal recae en los Estados miembros, ya que la lucha contra las amenazas híbridas constituye un asunto de defensa y seguridad nacional.</w:t>
      </w:r>
      <w:r w:rsidR="008337FC" w:rsidRPr="008F486E">
        <w:rPr>
          <w:rFonts w:ascii="Arial" w:hAnsi="Arial" w:cs="Arial"/>
          <w:sz w:val="24"/>
          <w:szCs w:val="24"/>
        </w:rPr>
        <w:t xml:space="preserve"> Por amenazas híbridas entendemos las interferencias en las elecciones, las campañas de desinformación, las actividades cibernéticas hostiles y los autores de actos </w:t>
      </w:r>
      <w:r w:rsidR="008337FC" w:rsidRPr="008F486E">
        <w:rPr>
          <w:rFonts w:ascii="Arial" w:hAnsi="Arial" w:cs="Arial"/>
          <w:sz w:val="24"/>
          <w:szCs w:val="24"/>
        </w:rPr>
        <w:lastRenderedPageBreak/>
        <w:t>híbridos que intentan radicalizar a miembros vulnerables de la sociedad que actúan por delegación. La vulnerabilidad a las amenazas híbridas no se limita a las fronteras nacionales, necesitan además una respuesta coordinada también a nivel de la UE y la OTAN</w:t>
      </w:r>
      <w:r w:rsidR="005E71B9" w:rsidRPr="008F486E">
        <w:rPr>
          <w:rStyle w:val="Refdenotaalpie"/>
          <w:rFonts w:ascii="Arial" w:hAnsi="Arial" w:cs="Arial"/>
          <w:sz w:val="24"/>
          <w:szCs w:val="24"/>
        </w:rPr>
        <w:footnoteReference w:id="88"/>
      </w:r>
      <w:r w:rsidR="008337FC" w:rsidRPr="008F486E">
        <w:rPr>
          <w:rFonts w:ascii="Arial" w:hAnsi="Arial" w:cs="Arial"/>
          <w:sz w:val="24"/>
          <w:szCs w:val="24"/>
        </w:rPr>
        <w:t xml:space="preserve">. </w:t>
      </w:r>
      <w:r w:rsidR="00C30E96" w:rsidRPr="008F486E">
        <w:rPr>
          <w:rFonts w:ascii="Arial" w:hAnsi="Arial" w:cs="Arial"/>
          <w:sz w:val="24"/>
          <w:szCs w:val="24"/>
        </w:rPr>
        <w:t xml:space="preserve">A raíz de la adopción, en noviembre de 2016, del </w:t>
      </w:r>
      <w:r w:rsidR="00C30E96" w:rsidRPr="008F486E">
        <w:rPr>
          <w:rFonts w:ascii="Arial" w:hAnsi="Arial" w:cs="Arial"/>
          <w:i/>
          <w:sz w:val="24"/>
          <w:szCs w:val="24"/>
        </w:rPr>
        <w:t>Plan de Acción Europeo de Defensa</w:t>
      </w:r>
      <w:r w:rsidR="00C30E96" w:rsidRPr="008F486E">
        <w:rPr>
          <w:rFonts w:ascii="Arial" w:hAnsi="Arial" w:cs="Arial"/>
          <w:sz w:val="24"/>
          <w:szCs w:val="24"/>
        </w:rPr>
        <w:t xml:space="preserve">, la Comisión presentó iniciativas concretas que contribuirán a fortalecer la capacidad de la UE de responder a las amenazas híbridas, fomentando la resiliencia en las cadenas de suministro de defensa y reforzando el mercado único de la defensa. En particular, el 7 de junio de 2017, la Comisión puso en marcha el </w:t>
      </w:r>
      <w:r w:rsidR="00C30E96" w:rsidRPr="008F486E">
        <w:rPr>
          <w:rFonts w:ascii="Arial" w:hAnsi="Arial" w:cs="Arial"/>
          <w:i/>
          <w:sz w:val="24"/>
          <w:szCs w:val="24"/>
        </w:rPr>
        <w:t>Fondo Europeo de Defensa</w:t>
      </w:r>
      <w:r w:rsidR="00C30E96" w:rsidRPr="008F486E">
        <w:rPr>
          <w:rFonts w:ascii="Arial" w:hAnsi="Arial" w:cs="Arial"/>
          <w:sz w:val="24"/>
          <w:szCs w:val="24"/>
        </w:rPr>
        <w:t xml:space="preserve">, con una propuesta de </w:t>
      </w:r>
      <w:r w:rsidR="007A0C61" w:rsidRPr="008F486E">
        <w:rPr>
          <w:rFonts w:ascii="Arial" w:hAnsi="Arial" w:cs="Arial"/>
          <w:sz w:val="24"/>
          <w:szCs w:val="24"/>
        </w:rPr>
        <w:t>financiación de 600 millones de Euros</w:t>
      </w:r>
      <w:r w:rsidR="00C30E96" w:rsidRPr="008F486E">
        <w:rPr>
          <w:rFonts w:ascii="Arial" w:hAnsi="Arial" w:cs="Arial"/>
          <w:sz w:val="24"/>
          <w:szCs w:val="24"/>
        </w:rPr>
        <w:t xml:space="preserve"> hasta 2020 y 1</w:t>
      </w:r>
      <w:r w:rsidR="007A0C61" w:rsidRPr="008F486E">
        <w:rPr>
          <w:rFonts w:ascii="Arial" w:hAnsi="Arial" w:cs="Arial"/>
          <w:sz w:val="24"/>
          <w:szCs w:val="24"/>
        </w:rPr>
        <w:t>.500 millones de Euros</w:t>
      </w:r>
      <w:r w:rsidR="00C30E96" w:rsidRPr="008F486E">
        <w:rPr>
          <w:rFonts w:ascii="Arial" w:hAnsi="Arial" w:cs="Arial"/>
          <w:sz w:val="24"/>
          <w:szCs w:val="24"/>
        </w:rPr>
        <w:t xml:space="preserve"> anuales a partir de 2020.</w:t>
      </w:r>
      <w:r w:rsidR="00B437B3" w:rsidRPr="008F486E">
        <w:rPr>
          <w:rFonts w:ascii="Arial" w:hAnsi="Arial" w:cs="Arial"/>
          <w:sz w:val="24"/>
          <w:szCs w:val="24"/>
        </w:rPr>
        <w:t xml:space="preserve"> L</w:t>
      </w:r>
      <w:r w:rsidR="00C30E96" w:rsidRPr="008F486E">
        <w:rPr>
          <w:rFonts w:ascii="Arial" w:hAnsi="Arial" w:cs="Arial"/>
          <w:sz w:val="24"/>
          <w:szCs w:val="24"/>
        </w:rPr>
        <w:t xml:space="preserve">a necesidad de contrarrestar las amenazas híbridas y la importancia de garantizar una mayor coherencia entre las acciones de seguridad internas y externas se reconoció en la </w:t>
      </w:r>
      <w:r w:rsidR="00C30E96" w:rsidRPr="008F486E">
        <w:rPr>
          <w:rFonts w:ascii="Arial" w:hAnsi="Arial" w:cs="Arial"/>
          <w:i/>
          <w:sz w:val="24"/>
          <w:szCs w:val="24"/>
        </w:rPr>
        <w:t>Declaración de Roma de 25 de marzo de 2017</w:t>
      </w:r>
      <w:r w:rsidR="00B437B3" w:rsidRPr="008F486E">
        <w:rPr>
          <w:rStyle w:val="Refdenotaalpie"/>
          <w:rFonts w:ascii="Arial" w:hAnsi="Arial" w:cs="Arial"/>
          <w:sz w:val="24"/>
          <w:szCs w:val="24"/>
        </w:rPr>
        <w:footnoteReference w:id="89"/>
      </w:r>
      <w:r w:rsidR="00B437B3" w:rsidRPr="008F486E">
        <w:rPr>
          <w:rFonts w:ascii="Arial" w:hAnsi="Arial" w:cs="Arial"/>
          <w:sz w:val="24"/>
          <w:szCs w:val="24"/>
        </w:rPr>
        <w:t xml:space="preserve"> y  e</w:t>
      </w:r>
      <w:r w:rsidR="00C30E96" w:rsidRPr="008F486E">
        <w:rPr>
          <w:rFonts w:ascii="Arial" w:hAnsi="Arial" w:cs="Arial"/>
          <w:sz w:val="24"/>
          <w:szCs w:val="24"/>
        </w:rPr>
        <w:t>l documento de reflexión de la Comisión sobre el futuro de l</w:t>
      </w:r>
      <w:r w:rsidR="00B437B3" w:rsidRPr="008F486E">
        <w:rPr>
          <w:rFonts w:ascii="Arial" w:hAnsi="Arial" w:cs="Arial"/>
          <w:sz w:val="24"/>
          <w:szCs w:val="24"/>
        </w:rPr>
        <w:t xml:space="preserve">a defensa europea presentado en junio del mismo año, </w:t>
      </w:r>
      <w:r w:rsidR="00C30E96" w:rsidRPr="008F486E">
        <w:rPr>
          <w:rFonts w:ascii="Arial" w:hAnsi="Arial" w:cs="Arial"/>
          <w:sz w:val="24"/>
          <w:szCs w:val="24"/>
        </w:rPr>
        <w:t>esboza diferentes escenarios posibles sobre cómo abordar las crecientes</w:t>
      </w:r>
      <w:r w:rsidR="00B437B3" w:rsidRPr="008F486E">
        <w:rPr>
          <w:rFonts w:ascii="Arial" w:hAnsi="Arial" w:cs="Arial"/>
          <w:sz w:val="24"/>
          <w:szCs w:val="24"/>
        </w:rPr>
        <w:t xml:space="preserve"> </w:t>
      </w:r>
      <w:r w:rsidR="00C30E96" w:rsidRPr="008F486E">
        <w:rPr>
          <w:rFonts w:ascii="Arial" w:hAnsi="Arial" w:cs="Arial"/>
          <w:sz w:val="24"/>
          <w:szCs w:val="24"/>
        </w:rPr>
        <w:t xml:space="preserve">amenazas a la seguridad y la defensa a que se enfrenta Europa y mejorar las </w:t>
      </w:r>
      <w:r w:rsidR="00C30E96" w:rsidRPr="008F486E">
        <w:rPr>
          <w:rFonts w:ascii="Arial" w:hAnsi="Arial" w:cs="Arial"/>
          <w:sz w:val="24"/>
          <w:szCs w:val="24"/>
        </w:rPr>
        <w:lastRenderedPageBreak/>
        <w:t>capacidades de</w:t>
      </w:r>
      <w:r w:rsidR="00B437B3" w:rsidRPr="008F486E">
        <w:rPr>
          <w:rFonts w:ascii="Arial" w:hAnsi="Arial" w:cs="Arial"/>
          <w:sz w:val="24"/>
          <w:szCs w:val="24"/>
        </w:rPr>
        <w:t xml:space="preserve"> </w:t>
      </w:r>
      <w:r w:rsidR="00C30E96" w:rsidRPr="008F486E">
        <w:rPr>
          <w:rFonts w:ascii="Arial" w:hAnsi="Arial" w:cs="Arial"/>
          <w:sz w:val="24"/>
          <w:szCs w:val="24"/>
        </w:rPr>
        <w:t>defensa propias de aquí a 2025</w:t>
      </w:r>
      <w:r w:rsidR="00B437B3" w:rsidRPr="008F486E">
        <w:rPr>
          <w:rStyle w:val="Refdenotaalpie"/>
          <w:rFonts w:ascii="Arial" w:hAnsi="Arial" w:cs="Arial"/>
          <w:sz w:val="24"/>
          <w:szCs w:val="24"/>
        </w:rPr>
        <w:footnoteReference w:id="90"/>
      </w:r>
      <w:r w:rsidR="00B437B3" w:rsidRPr="008F486E">
        <w:rPr>
          <w:rFonts w:ascii="Arial" w:hAnsi="Arial" w:cs="Arial"/>
          <w:sz w:val="24"/>
          <w:szCs w:val="24"/>
        </w:rPr>
        <w:t>.</w:t>
      </w:r>
      <w:r w:rsidR="0036507D" w:rsidRPr="008F486E">
        <w:rPr>
          <w:rFonts w:ascii="Arial" w:hAnsi="Arial" w:cs="Arial"/>
          <w:sz w:val="24"/>
          <w:szCs w:val="24"/>
        </w:rPr>
        <w:t xml:space="preserve"> </w:t>
      </w:r>
      <w:r w:rsidR="00C50488" w:rsidRPr="008F486E">
        <w:rPr>
          <w:rFonts w:ascii="Arial" w:hAnsi="Arial" w:cs="Arial"/>
          <w:sz w:val="24"/>
          <w:szCs w:val="24"/>
        </w:rPr>
        <w:t>El 11 de diciembre de 2017 el Consejo de la UE adoptó una Decisión</w:t>
      </w:r>
      <w:r w:rsidR="00724728" w:rsidRPr="008F486E">
        <w:rPr>
          <w:rStyle w:val="Refdenotaalpie"/>
          <w:rFonts w:ascii="Arial" w:hAnsi="Arial" w:cs="Arial"/>
          <w:sz w:val="24"/>
          <w:szCs w:val="24"/>
        </w:rPr>
        <w:footnoteReference w:id="91"/>
      </w:r>
      <w:r w:rsidR="00C50488" w:rsidRPr="008F486E">
        <w:rPr>
          <w:rFonts w:ascii="Arial" w:hAnsi="Arial" w:cs="Arial"/>
          <w:sz w:val="24"/>
          <w:szCs w:val="24"/>
        </w:rPr>
        <w:t xml:space="preserve"> por la que se establece una cooperación estructurada permanente en la que participan veinticinco Estados Miembros (entre ellos, España) en el ámbito de la política de seguridad y defensa, instaurada por el Tratado de Lisboa</w:t>
      </w:r>
      <w:r w:rsidR="0036507D" w:rsidRPr="008F486E">
        <w:rPr>
          <w:rStyle w:val="Refdenotaalpie"/>
          <w:rFonts w:ascii="Arial" w:hAnsi="Arial" w:cs="Arial"/>
          <w:sz w:val="24"/>
          <w:szCs w:val="24"/>
        </w:rPr>
        <w:footnoteReference w:id="92"/>
      </w:r>
      <w:r w:rsidR="00C50488" w:rsidRPr="008F486E">
        <w:rPr>
          <w:rFonts w:ascii="Arial" w:hAnsi="Arial" w:cs="Arial"/>
          <w:sz w:val="24"/>
          <w:szCs w:val="24"/>
        </w:rPr>
        <w:t>, para lograr una colaboración más estrecha desarrollando conjuntamente capacidades de defensa, inversión en proyectos compartidos y una mejora de la contribución y la disponibilidad operativa de sus fuerzas armadas. Esta Declaración acoge una lista principal de diecisiete proyectos en materia de defensa y que muy posiblemente</w:t>
      </w:r>
      <w:r w:rsidR="007A0C61" w:rsidRPr="008F486E">
        <w:rPr>
          <w:rFonts w:ascii="Arial" w:hAnsi="Arial" w:cs="Arial"/>
          <w:sz w:val="24"/>
          <w:szCs w:val="24"/>
        </w:rPr>
        <w:t xml:space="preserve"> se adoptarán en el primer semestre de </w:t>
      </w:r>
      <w:r w:rsidR="00C50488" w:rsidRPr="008F486E">
        <w:rPr>
          <w:rFonts w:ascii="Arial" w:hAnsi="Arial" w:cs="Arial"/>
          <w:sz w:val="24"/>
          <w:szCs w:val="24"/>
        </w:rPr>
        <w:t>2018.</w:t>
      </w:r>
    </w:p>
    <w:p w:rsidR="00952656" w:rsidRPr="008F486E" w:rsidRDefault="004F6FAB" w:rsidP="008F486E">
      <w:pPr>
        <w:spacing w:line="360" w:lineRule="auto"/>
        <w:ind w:firstLine="360"/>
        <w:jc w:val="both"/>
        <w:rPr>
          <w:rFonts w:ascii="Arial" w:hAnsi="Arial" w:cs="Arial"/>
          <w:sz w:val="24"/>
          <w:szCs w:val="24"/>
        </w:rPr>
      </w:pPr>
      <w:r w:rsidRPr="008F486E">
        <w:rPr>
          <w:rFonts w:ascii="Arial" w:hAnsi="Arial" w:cs="Arial"/>
          <w:sz w:val="24"/>
          <w:szCs w:val="24"/>
        </w:rPr>
        <w:t>En el contexto de la Estrategia Espacial y del Plan de Acción de la Defensa Europea</w:t>
      </w:r>
      <w:r w:rsidR="00014DCB" w:rsidRPr="008F486E">
        <w:rPr>
          <w:rStyle w:val="Refdenotaalpie"/>
          <w:rFonts w:ascii="Arial" w:hAnsi="Arial" w:cs="Arial"/>
          <w:sz w:val="24"/>
          <w:szCs w:val="24"/>
        </w:rPr>
        <w:footnoteReference w:id="93"/>
      </w:r>
      <w:r w:rsidRPr="008F486E">
        <w:rPr>
          <w:rFonts w:ascii="Arial" w:hAnsi="Arial" w:cs="Arial"/>
          <w:sz w:val="24"/>
          <w:szCs w:val="24"/>
        </w:rPr>
        <w:t xml:space="preserve">, la Comisión propondrá que se aumente la resiliencia de las infraestructuras espaciales ante las amenazas híbridas, en particular mediante una posible ampliación del alcance de la vigilancia y seguimiento espacial para </w:t>
      </w:r>
      <w:r w:rsidR="00E306E7" w:rsidRPr="008F486E">
        <w:rPr>
          <w:rFonts w:ascii="Arial" w:hAnsi="Arial" w:cs="Arial"/>
          <w:sz w:val="24"/>
          <w:szCs w:val="24"/>
        </w:rPr>
        <w:t>que abarque este tipo de amenazas</w:t>
      </w:r>
      <w:r w:rsidRPr="008F486E">
        <w:rPr>
          <w:rFonts w:ascii="Arial" w:hAnsi="Arial" w:cs="Arial"/>
          <w:sz w:val="24"/>
          <w:szCs w:val="24"/>
        </w:rPr>
        <w:t xml:space="preserve">, la preparación para la próxima </w:t>
      </w:r>
      <w:r w:rsidR="007A0C61" w:rsidRPr="008F486E">
        <w:rPr>
          <w:rFonts w:ascii="Arial" w:hAnsi="Arial" w:cs="Arial"/>
          <w:sz w:val="24"/>
          <w:szCs w:val="24"/>
        </w:rPr>
        <w:t xml:space="preserve">generación de </w:t>
      </w:r>
      <w:proofErr w:type="spellStart"/>
      <w:r w:rsidRPr="008F486E">
        <w:rPr>
          <w:rFonts w:ascii="Arial" w:hAnsi="Arial" w:cs="Arial"/>
          <w:sz w:val="24"/>
          <w:szCs w:val="24"/>
        </w:rPr>
        <w:t>GovSatCom</w:t>
      </w:r>
      <w:proofErr w:type="spellEnd"/>
      <w:r w:rsidR="005E7F56" w:rsidRPr="008F486E">
        <w:rPr>
          <w:rFonts w:ascii="Arial" w:hAnsi="Arial" w:cs="Arial"/>
          <w:sz w:val="24"/>
          <w:szCs w:val="24"/>
        </w:rPr>
        <w:t xml:space="preserve"> (</w:t>
      </w:r>
      <w:proofErr w:type="spellStart"/>
      <w:r w:rsidR="005E7F56" w:rsidRPr="008F486E">
        <w:rPr>
          <w:rFonts w:ascii="Arial" w:hAnsi="Arial" w:cs="Arial"/>
          <w:i/>
          <w:sz w:val="24"/>
          <w:szCs w:val="24"/>
        </w:rPr>
        <w:t>Governmental</w:t>
      </w:r>
      <w:proofErr w:type="spellEnd"/>
      <w:r w:rsidR="005E7F56" w:rsidRPr="008F486E">
        <w:rPr>
          <w:rFonts w:ascii="Arial" w:hAnsi="Arial" w:cs="Arial"/>
          <w:i/>
          <w:sz w:val="24"/>
          <w:szCs w:val="24"/>
        </w:rPr>
        <w:t xml:space="preserve"> </w:t>
      </w:r>
      <w:proofErr w:type="spellStart"/>
      <w:r w:rsidR="005E7F56" w:rsidRPr="008F486E">
        <w:rPr>
          <w:rFonts w:ascii="Arial" w:hAnsi="Arial" w:cs="Arial"/>
          <w:i/>
          <w:sz w:val="24"/>
          <w:szCs w:val="24"/>
        </w:rPr>
        <w:t>Satellite</w:t>
      </w:r>
      <w:proofErr w:type="spellEnd"/>
      <w:r w:rsidR="005E7F56" w:rsidRPr="008F486E">
        <w:rPr>
          <w:rFonts w:ascii="Arial" w:hAnsi="Arial" w:cs="Arial"/>
          <w:i/>
          <w:sz w:val="24"/>
          <w:szCs w:val="24"/>
        </w:rPr>
        <w:t xml:space="preserve"> </w:t>
      </w:r>
      <w:proofErr w:type="spellStart"/>
      <w:r w:rsidR="005E7F56" w:rsidRPr="008F486E">
        <w:rPr>
          <w:rFonts w:ascii="Arial" w:hAnsi="Arial" w:cs="Arial"/>
          <w:i/>
          <w:sz w:val="24"/>
          <w:szCs w:val="24"/>
        </w:rPr>
        <w:t>Communications</w:t>
      </w:r>
      <w:proofErr w:type="spellEnd"/>
      <w:r w:rsidR="005E7F56" w:rsidRPr="008F486E">
        <w:rPr>
          <w:rFonts w:ascii="Arial" w:hAnsi="Arial" w:cs="Arial"/>
          <w:sz w:val="24"/>
          <w:szCs w:val="24"/>
        </w:rPr>
        <w:t>)</w:t>
      </w:r>
      <w:r w:rsidRPr="008F486E">
        <w:rPr>
          <w:rFonts w:ascii="Arial" w:hAnsi="Arial" w:cs="Arial"/>
          <w:sz w:val="24"/>
          <w:szCs w:val="24"/>
        </w:rPr>
        <w:t xml:space="preserve"> a escala europea y la introducción de Galileo en las infraestructuras críticas que</w:t>
      </w:r>
      <w:r w:rsidR="00404642" w:rsidRPr="008F486E">
        <w:rPr>
          <w:rFonts w:ascii="Arial" w:hAnsi="Arial" w:cs="Arial"/>
          <w:sz w:val="24"/>
          <w:szCs w:val="24"/>
        </w:rPr>
        <w:t xml:space="preserve"> dependen de la sincronización. </w:t>
      </w:r>
      <w:proofErr w:type="spellStart"/>
      <w:r w:rsidR="00404642" w:rsidRPr="008F486E">
        <w:rPr>
          <w:rFonts w:ascii="Arial" w:hAnsi="Arial" w:cs="Arial"/>
          <w:sz w:val="24"/>
          <w:szCs w:val="24"/>
        </w:rPr>
        <w:t>Gov</w:t>
      </w:r>
      <w:r w:rsidR="005E7F56" w:rsidRPr="008F486E">
        <w:rPr>
          <w:rFonts w:ascii="Arial" w:hAnsi="Arial" w:cs="Arial"/>
          <w:sz w:val="24"/>
          <w:szCs w:val="24"/>
        </w:rPr>
        <w:t>SatCom</w:t>
      </w:r>
      <w:proofErr w:type="spellEnd"/>
      <w:r w:rsidR="005E7F56" w:rsidRPr="008F486E">
        <w:rPr>
          <w:rFonts w:ascii="Arial" w:hAnsi="Arial" w:cs="Arial"/>
          <w:sz w:val="24"/>
          <w:szCs w:val="24"/>
        </w:rPr>
        <w:t xml:space="preserve"> es un proyecto de la Agencia Europea de Defensa para tener un espacio común de c</w:t>
      </w:r>
      <w:r w:rsidR="00404642" w:rsidRPr="008F486E">
        <w:rPr>
          <w:rFonts w:ascii="Arial" w:hAnsi="Arial" w:cs="Arial"/>
          <w:sz w:val="24"/>
          <w:szCs w:val="24"/>
        </w:rPr>
        <w:t>omunicaciones por satélite</w:t>
      </w:r>
      <w:r w:rsidR="00E306E7" w:rsidRPr="008F486E">
        <w:rPr>
          <w:rFonts w:ascii="Arial" w:hAnsi="Arial" w:cs="Arial"/>
          <w:sz w:val="24"/>
          <w:szCs w:val="24"/>
        </w:rPr>
        <w:t xml:space="preserve"> fiable, seguro y rentable para la UE y las autoridades públicas nacionales</w:t>
      </w:r>
      <w:r w:rsidR="00404642" w:rsidRPr="008F486E">
        <w:rPr>
          <w:rStyle w:val="Refdenotaalpie"/>
          <w:rFonts w:ascii="Arial" w:hAnsi="Arial" w:cs="Arial"/>
          <w:sz w:val="24"/>
          <w:szCs w:val="24"/>
        </w:rPr>
        <w:footnoteReference w:id="94"/>
      </w:r>
      <w:r w:rsidR="00404642" w:rsidRPr="008F486E">
        <w:rPr>
          <w:rFonts w:ascii="Arial" w:hAnsi="Arial" w:cs="Arial"/>
          <w:sz w:val="24"/>
          <w:szCs w:val="24"/>
        </w:rPr>
        <w:t xml:space="preserve">. El modelo utilizado por el Ministerio de Defensa Español para cubrir las necesidades proporcionadas </w:t>
      </w:r>
      <w:r w:rsidR="00E306E7" w:rsidRPr="008F486E">
        <w:rPr>
          <w:rFonts w:ascii="Arial" w:hAnsi="Arial" w:cs="Arial"/>
          <w:sz w:val="24"/>
          <w:szCs w:val="24"/>
        </w:rPr>
        <w:t xml:space="preserve">por sistemas vía </w:t>
      </w:r>
      <w:r w:rsidR="00404642" w:rsidRPr="008F486E">
        <w:rPr>
          <w:rFonts w:ascii="Arial" w:hAnsi="Arial" w:cs="Arial"/>
          <w:sz w:val="24"/>
          <w:szCs w:val="24"/>
        </w:rPr>
        <w:t>satélite, se basa en la obtención de servicios mediante contratos con una operadora nacional de servicios gubernamentales o a través de acuerdos de colaboración en programas internacionales</w:t>
      </w:r>
      <w:r w:rsidR="00E306E7" w:rsidRPr="008F486E">
        <w:rPr>
          <w:rFonts w:ascii="Arial" w:hAnsi="Arial" w:cs="Arial"/>
          <w:sz w:val="24"/>
          <w:szCs w:val="24"/>
        </w:rPr>
        <w:t>. En este sentido, se orientan l</w:t>
      </w:r>
      <w:r w:rsidR="00C66684" w:rsidRPr="008F486E">
        <w:rPr>
          <w:rFonts w:ascii="Arial" w:hAnsi="Arial" w:cs="Arial"/>
          <w:sz w:val="24"/>
          <w:szCs w:val="24"/>
        </w:rPr>
        <w:t xml:space="preserve">os esfuerzos a la iniciativa </w:t>
      </w:r>
      <w:proofErr w:type="spellStart"/>
      <w:r w:rsidR="00C66684" w:rsidRPr="008F486E">
        <w:rPr>
          <w:rFonts w:ascii="Arial" w:hAnsi="Arial" w:cs="Arial"/>
          <w:sz w:val="24"/>
          <w:szCs w:val="24"/>
        </w:rPr>
        <w:t>GovSatCom</w:t>
      </w:r>
      <w:proofErr w:type="spellEnd"/>
      <w:r w:rsidR="00E306E7" w:rsidRPr="008F486E">
        <w:rPr>
          <w:rFonts w:ascii="Arial" w:hAnsi="Arial" w:cs="Arial"/>
          <w:sz w:val="24"/>
          <w:szCs w:val="24"/>
        </w:rPr>
        <w:t xml:space="preserve"> de la </w:t>
      </w:r>
      <w:r w:rsidR="00C66684" w:rsidRPr="008F486E">
        <w:rPr>
          <w:rFonts w:ascii="Arial" w:hAnsi="Arial" w:cs="Arial"/>
          <w:sz w:val="24"/>
          <w:szCs w:val="24"/>
        </w:rPr>
        <w:t>Agencia Europea de Defensa (</w:t>
      </w:r>
      <w:r w:rsidR="00C66684" w:rsidRPr="008F486E">
        <w:rPr>
          <w:rFonts w:ascii="Arial" w:hAnsi="Arial" w:cs="Arial"/>
          <w:i/>
          <w:sz w:val="24"/>
          <w:szCs w:val="24"/>
        </w:rPr>
        <w:t>EDA</w:t>
      </w:r>
      <w:r w:rsidR="00C66684" w:rsidRPr="008F486E">
        <w:rPr>
          <w:rFonts w:ascii="Arial" w:hAnsi="Arial" w:cs="Arial"/>
          <w:sz w:val="24"/>
          <w:szCs w:val="24"/>
        </w:rPr>
        <w:t>, por sus siglas en inglés)</w:t>
      </w:r>
      <w:r w:rsidR="00E306E7" w:rsidRPr="008F486E">
        <w:rPr>
          <w:rFonts w:ascii="Arial" w:hAnsi="Arial" w:cs="Arial"/>
          <w:sz w:val="24"/>
          <w:szCs w:val="24"/>
        </w:rPr>
        <w:t xml:space="preserve">, en la que España lidera la </w:t>
      </w:r>
      <w:r w:rsidR="00E306E7" w:rsidRPr="008F486E">
        <w:rPr>
          <w:rFonts w:ascii="Arial" w:hAnsi="Arial" w:cs="Arial"/>
          <w:sz w:val="24"/>
          <w:szCs w:val="24"/>
        </w:rPr>
        <w:lastRenderedPageBreak/>
        <w:t>fase de preparación, al nuevo paquete de capacidades OTAN y a generar acuerdos con países aliados</w:t>
      </w:r>
      <w:r w:rsidR="00E306E7" w:rsidRPr="008F486E">
        <w:rPr>
          <w:rStyle w:val="Refdenotaalpie"/>
          <w:rFonts w:ascii="Arial" w:hAnsi="Arial" w:cs="Arial"/>
          <w:sz w:val="24"/>
          <w:szCs w:val="24"/>
        </w:rPr>
        <w:footnoteReference w:id="95"/>
      </w:r>
      <w:r w:rsidR="00E306E7" w:rsidRPr="008F486E">
        <w:rPr>
          <w:rFonts w:ascii="Arial" w:hAnsi="Arial" w:cs="Arial"/>
          <w:sz w:val="24"/>
          <w:szCs w:val="24"/>
        </w:rPr>
        <w:t>.</w:t>
      </w:r>
    </w:p>
    <w:p w:rsidR="00D02575" w:rsidRPr="008F486E" w:rsidRDefault="00E7506F" w:rsidP="008F486E">
      <w:pPr>
        <w:spacing w:line="360" w:lineRule="auto"/>
        <w:ind w:firstLine="360"/>
        <w:jc w:val="both"/>
        <w:rPr>
          <w:rFonts w:ascii="Arial" w:hAnsi="Arial" w:cs="Arial"/>
          <w:sz w:val="24"/>
          <w:szCs w:val="24"/>
        </w:rPr>
      </w:pPr>
      <w:r w:rsidRPr="008F486E">
        <w:rPr>
          <w:rFonts w:ascii="Arial" w:hAnsi="Arial" w:cs="Arial"/>
          <w:sz w:val="24"/>
          <w:szCs w:val="24"/>
        </w:rPr>
        <w:t xml:space="preserve">Otro asunto que reviste especial preocupación relacionado con </w:t>
      </w:r>
      <w:r w:rsidR="00614785" w:rsidRPr="008F486E">
        <w:rPr>
          <w:rFonts w:ascii="Arial" w:hAnsi="Arial" w:cs="Arial"/>
          <w:sz w:val="24"/>
          <w:szCs w:val="24"/>
        </w:rPr>
        <w:t xml:space="preserve">las amenazas a la seguridad regional y mundial </w:t>
      </w:r>
      <w:r w:rsidRPr="008F486E">
        <w:rPr>
          <w:rFonts w:ascii="Arial" w:hAnsi="Arial" w:cs="Arial"/>
          <w:sz w:val="24"/>
          <w:szCs w:val="24"/>
        </w:rPr>
        <w:t xml:space="preserve">es </w:t>
      </w:r>
      <w:r w:rsidR="00614785" w:rsidRPr="008F486E">
        <w:rPr>
          <w:rFonts w:ascii="Arial" w:hAnsi="Arial" w:cs="Arial"/>
          <w:sz w:val="24"/>
          <w:szCs w:val="24"/>
        </w:rPr>
        <w:t>la continua proli</w:t>
      </w:r>
      <w:r w:rsidRPr="008F486E">
        <w:rPr>
          <w:rFonts w:ascii="Arial" w:hAnsi="Arial" w:cs="Arial"/>
          <w:sz w:val="24"/>
          <w:szCs w:val="24"/>
        </w:rPr>
        <w:t xml:space="preserve">feración de sistemas de misiles </w:t>
      </w:r>
      <w:r w:rsidR="00614785" w:rsidRPr="008F486E">
        <w:rPr>
          <w:rFonts w:ascii="Arial" w:hAnsi="Arial" w:cs="Arial"/>
          <w:sz w:val="24"/>
          <w:szCs w:val="24"/>
        </w:rPr>
        <w:t>balísticos capaces de transport</w:t>
      </w:r>
      <w:r w:rsidRPr="008F486E">
        <w:rPr>
          <w:rFonts w:ascii="Arial" w:hAnsi="Arial" w:cs="Arial"/>
          <w:sz w:val="24"/>
          <w:szCs w:val="24"/>
        </w:rPr>
        <w:t xml:space="preserve">ar armas de destrucción en masa Las delegaciones de COPUOS en Naciones Unidas expresaron la opinión </w:t>
      </w:r>
      <w:r w:rsidR="00D8250C" w:rsidRPr="008F486E">
        <w:rPr>
          <w:rFonts w:ascii="Arial" w:hAnsi="Arial" w:cs="Arial"/>
          <w:sz w:val="24"/>
          <w:szCs w:val="24"/>
        </w:rPr>
        <w:t>de que debía</w:t>
      </w:r>
      <w:r w:rsidRPr="008F486E">
        <w:rPr>
          <w:rFonts w:ascii="Arial" w:hAnsi="Arial" w:cs="Arial"/>
          <w:sz w:val="24"/>
          <w:szCs w:val="24"/>
        </w:rPr>
        <w:t>n</w:t>
      </w:r>
      <w:r w:rsidR="00D8250C" w:rsidRPr="008F486E">
        <w:rPr>
          <w:rFonts w:ascii="Arial" w:hAnsi="Arial" w:cs="Arial"/>
          <w:sz w:val="24"/>
          <w:szCs w:val="24"/>
        </w:rPr>
        <w:t xml:space="preserve"> condenarse la serie de lanzamientos de misiles balísticos efectuados por la República Popular Democrática de Corea, porque constituían un incumplimiento de las resoluciones pertinentes del Consejo de Seguridad, incluidas la</w:t>
      </w:r>
      <w:r w:rsidR="0036507D" w:rsidRPr="008F486E">
        <w:rPr>
          <w:rFonts w:ascii="Arial" w:hAnsi="Arial" w:cs="Arial"/>
          <w:sz w:val="24"/>
          <w:szCs w:val="24"/>
        </w:rPr>
        <w:t>s resoluciones 2270 (2016) y</w:t>
      </w:r>
      <w:r w:rsidR="00D8250C" w:rsidRPr="008F486E">
        <w:rPr>
          <w:rFonts w:ascii="Arial" w:hAnsi="Arial" w:cs="Arial"/>
          <w:sz w:val="24"/>
          <w:szCs w:val="24"/>
        </w:rPr>
        <w:t xml:space="preserve"> 2321 (2016), con arreglo a las cuales quedaba prohibida la cooperación científica y técnica que pudiera contribuir al desarrollo de sistemas vectores de armas nucleares por parte de la República Popular Democrática de Corea</w:t>
      </w:r>
      <w:r w:rsidRPr="008F486E">
        <w:rPr>
          <w:rFonts w:ascii="Arial" w:hAnsi="Arial" w:cs="Arial"/>
          <w:sz w:val="24"/>
          <w:szCs w:val="24"/>
        </w:rPr>
        <w:t xml:space="preserve">. En este sentido, hemos de recordar </w:t>
      </w:r>
      <w:r w:rsidRPr="008F486E">
        <w:rPr>
          <w:rFonts w:ascii="Arial" w:hAnsi="Arial" w:cs="Arial"/>
          <w:i/>
          <w:sz w:val="24"/>
          <w:szCs w:val="24"/>
        </w:rPr>
        <w:t>el Código Internacional de Conducta contra la Proliferación de los Misiles Balísticos</w:t>
      </w:r>
      <w:r w:rsidRPr="008F486E">
        <w:rPr>
          <w:rStyle w:val="Refdenotaalpie"/>
          <w:rFonts w:ascii="Arial" w:hAnsi="Arial" w:cs="Arial"/>
          <w:i/>
          <w:sz w:val="24"/>
          <w:szCs w:val="24"/>
        </w:rPr>
        <w:footnoteReference w:id="96"/>
      </w:r>
      <w:r w:rsidRPr="008F486E">
        <w:rPr>
          <w:rFonts w:ascii="Arial" w:hAnsi="Arial" w:cs="Arial"/>
          <w:sz w:val="24"/>
          <w:szCs w:val="24"/>
        </w:rPr>
        <w:t>, aprobado en La Haya el 25 de noviembre de 2002</w:t>
      </w:r>
      <w:r w:rsidR="00D90805" w:rsidRPr="008F486E">
        <w:rPr>
          <w:rFonts w:ascii="Arial" w:hAnsi="Arial" w:cs="Arial"/>
          <w:sz w:val="24"/>
          <w:szCs w:val="24"/>
        </w:rPr>
        <w:t>,</w:t>
      </w:r>
      <w:r w:rsidRPr="008F486E">
        <w:rPr>
          <w:rFonts w:ascii="Arial" w:hAnsi="Arial" w:cs="Arial"/>
          <w:sz w:val="24"/>
          <w:szCs w:val="24"/>
        </w:rPr>
        <w:t xml:space="preserve"> y del que España es parte</w:t>
      </w:r>
      <w:r w:rsidR="00D90805" w:rsidRPr="008F486E">
        <w:rPr>
          <w:rFonts w:ascii="Arial" w:hAnsi="Arial" w:cs="Arial"/>
          <w:sz w:val="24"/>
          <w:szCs w:val="24"/>
        </w:rPr>
        <w:t>, pues reconoce la necesidad de prevenir y reducir de manera general la proliferación de los sistemas de misiles balísticos capaces de transportar armas de destrucción en masa reconociendo que la adhesión a las normas internacionales de control de armas, desarme y no proliferación</w:t>
      </w:r>
      <w:r w:rsidR="00F21BE0" w:rsidRPr="008F486E">
        <w:rPr>
          <w:rStyle w:val="Refdenotaalpie"/>
          <w:rFonts w:ascii="Arial" w:hAnsi="Arial" w:cs="Arial"/>
          <w:sz w:val="24"/>
          <w:szCs w:val="24"/>
        </w:rPr>
        <w:footnoteReference w:id="97"/>
      </w:r>
      <w:r w:rsidR="00D90805" w:rsidRPr="008F486E">
        <w:rPr>
          <w:rFonts w:ascii="Arial" w:hAnsi="Arial" w:cs="Arial"/>
          <w:sz w:val="24"/>
          <w:szCs w:val="24"/>
        </w:rPr>
        <w:t xml:space="preserve"> y su pleno cumplimiento contribuyen a fomentar la confianza en cuanto a las intenciones pacífi</w:t>
      </w:r>
      <w:r w:rsidR="00B933BB" w:rsidRPr="008F486E">
        <w:rPr>
          <w:rFonts w:ascii="Arial" w:hAnsi="Arial" w:cs="Arial"/>
          <w:sz w:val="24"/>
          <w:szCs w:val="24"/>
        </w:rPr>
        <w:t xml:space="preserve">cas de los Estados. Se confirma la </w:t>
      </w:r>
      <w:r w:rsidR="00D90805" w:rsidRPr="008F486E">
        <w:rPr>
          <w:rFonts w:ascii="Arial" w:hAnsi="Arial" w:cs="Arial"/>
          <w:sz w:val="24"/>
          <w:szCs w:val="24"/>
        </w:rPr>
        <w:t xml:space="preserve">adhesión a la Declaración </w:t>
      </w:r>
      <w:r w:rsidR="00D90805" w:rsidRPr="008F486E">
        <w:rPr>
          <w:rFonts w:ascii="Arial" w:hAnsi="Arial" w:cs="Arial"/>
          <w:sz w:val="24"/>
          <w:szCs w:val="24"/>
        </w:rPr>
        <w:lastRenderedPageBreak/>
        <w:t xml:space="preserve">sobre la cooperación internacional en la exploración y utilización del espacio ultraterrestre en beneficio e interés de todos los Estados, teniendo especialmente en cuenta las necesidades de los países en desarrollo, aprobada por la Asamblea General de </w:t>
      </w:r>
      <w:r w:rsidR="00E921F5" w:rsidRPr="008F486E">
        <w:rPr>
          <w:rFonts w:ascii="Arial" w:hAnsi="Arial" w:cs="Arial"/>
          <w:sz w:val="24"/>
          <w:szCs w:val="24"/>
        </w:rPr>
        <w:t>las Naciones Unidas (R</w:t>
      </w:r>
      <w:r w:rsidR="00D90805" w:rsidRPr="008F486E">
        <w:rPr>
          <w:rFonts w:ascii="Arial" w:hAnsi="Arial" w:cs="Arial"/>
          <w:sz w:val="24"/>
          <w:szCs w:val="24"/>
        </w:rPr>
        <w:t>esolución</w:t>
      </w:r>
      <w:r w:rsidR="00E921F5" w:rsidRPr="008F486E">
        <w:rPr>
          <w:rFonts w:ascii="Arial" w:hAnsi="Arial" w:cs="Arial"/>
          <w:sz w:val="24"/>
          <w:szCs w:val="24"/>
        </w:rPr>
        <w:t xml:space="preserve"> </w:t>
      </w:r>
      <w:r w:rsidR="00D90805" w:rsidRPr="008F486E">
        <w:rPr>
          <w:rFonts w:ascii="Arial" w:hAnsi="Arial" w:cs="Arial"/>
          <w:sz w:val="24"/>
          <w:szCs w:val="24"/>
        </w:rPr>
        <w:t>51/122, de 13 de d</w:t>
      </w:r>
      <w:r w:rsidR="00E921F5" w:rsidRPr="008F486E">
        <w:rPr>
          <w:rFonts w:ascii="Arial" w:hAnsi="Arial" w:cs="Arial"/>
          <w:sz w:val="24"/>
          <w:szCs w:val="24"/>
        </w:rPr>
        <w:t>iciembre de 1996) y se reconoce</w:t>
      </w:r>
      <w:r w:rsidR="00D90805" w:rsidRPr="008F486E">
        <w:rPr>
          <w:rFonts w:ascii="Arial" w:hAnsi="Arial" w:cs="Arial"/>
          <w:sz w:val="24"/>
          <w:szCs w:val="24"/>
        </w:rPr>
        <w:t xml:space="preserve"> que los programas de lanzadores espaciales no deben ocultar programas de misiles balísticos</w:t>
      </w:r>
      <w:r w:rsidR="00B933BB" w:rsidRPr="008F486E">
        <w:rPr>
          <w:rFonts w:ascii="Arial" w:hAnsi="Arial" w:cs="Arial"/>
          <w:sz w:val="24"/>
          <w:szCs w:val="24"/>
        </w:rPr>
        <w:t xml:space="preserve"> y tecnología conexa. </w:t>
      </w:r>
      <w:r w:rsidR="00CC71B5" w:rsidRPr="008F486E">
        <w:rPr>
          <w:rFonts w:ascii="Arial" w:hAnsi="Arial" w:cs="Arial"/>
          <w:sz w:val="24"/>
          <w:szCs w:val="24"/>
        </w:rPr>
        <w:t xml:space="preserve">El Código insta a que los Estados que aún no lo hayan hecho se adhieran al Tratado del Espacio de 1967, al Convenio sobre la Responsabilidad de 1972 y al Convenio sobre el Registro de 1975. Asimismo, el Código resuelve aplicar una serie de medidas </w:t>
      </w:r>
      <w:r w:rsidR="004E78C3" w:rsidRPr="008F486E">
        <w:rPr>
          <w:rFonts w:ascii="Arial" w:hAnsi="Arial" w:cs="Arial"/>
          <w:sz w:val="24"/>
          <w:szCs w:val="24"/>
        </w:rPr>
        <w:t>con respecto a los programas de lanzadores espaciales consumibles y conforme a principios de confidencialidad</w:t>
      </w:r>
      <w:r w:rsidR="00D747DD" w:rsidRPr="008F486E">
        <w:rPr>
          <w:rFonts w:ascii="Arial" w:hAnsi="Arial" w:cs="Arial"/>
          <w:sz w:val="24"/>
          <w:szCs w:val="24"/>
        </w:rPr>
        <w:t>,</w:t>
      </w:r>
      <w:r w:rsidR="004E78C3" w:rsidRPr="008F486E">
        <w:rPr>
          <w:rFonts w:ascii="Arial" w:hAnsi="Arial" w:cs="Arial"/>
          <w:sz w:val="24"/>
          <w:szCs w:val="24"/>
        </w:rPr>
        <w:t xml:space="preserve"> desde los puntos de vista comercial y económico</w:t>
      </w:r>
      <w:r w:rsidR="00D747DD" w:rsidRPr="008F486E">
        <w:rPr>
          <w:rFonts w:ascii="Arial" w:hAnsi="Arial" w:cs="Arial"/>
          <w:sz w:val="24"/>
          <w:szCs w:val="24"/>
        </w:rPr>
        <w:t>,</w:t>
      </w:r>
      <w:r w:rsidR="004E78C3" w:rsidRPr="008F486E">
        <w:rPr>
          <w:rFonts w:ascii="Arial" w:hAnsi="Arial" w:cs="Arial"/>
          <w:sz w:val="24"/>
          <w:szCs w:val="24"/>
        </w:rPr>
        <w:t xml:space="preserve"> como hacer declaraciones anuales en que se esbocen las políticas relativas a los lanzadores espaciales y se indiquen las instalaciones terr</w:t>
      </w:r>
      <w:r w:rsidR="00D747DD" w:rsidRPr="008F486E">
        <w:rPr>
          <w:rFonts w:ascii="Arial" w:hAnsi="Arial" w:cs="Arial"/>
          <w:sz w:val="24"/>
          <w:szCs w:val="24"/>
        </w:rPr>
        <w:t>estres de (ensayo-) lanzamiento,</w:t>
      </w:r>
      <w:r w:rsidR="004E78C3" w:rsidRPr="008F486E">
        <w:rPr>
          <w:rFonts w:ascii="Arial" w:hAnsi="Arial" w:cs="Arial"/>
          <w:sz w:val="24"/>
          <w:szCs w:val="24"/>
        </w:rPr>
        <w:t xml:space="preserve"> </w:t>
      </w:r>
      <w:r w:rsidR="00D747DD" w:rsidRPr="008F486E">
        <w:rPr>
          <w:rFonts w:ascii="Arial" w:hAnsi="Arial" w:cs="Arial"/>
          <w:sz w:val="24"/>
          <w:szCs w:val="24"/>
        </w:rPr>
        <w:t>p</w:t>
      </w:r>
      <w:r w:rsidR="004E78C3" w:rsidRPr="008F486E">
        <w:rPr>
          <w:rFonts w:ascii="Arial" w:hAnsi="Arial" w:cs="Arial"/>
          <w:sz w:val="24"/>
          <w:szCs w:val="24"/>
        </w:rPr>
        <w:t>resentar información anual sobre el número y la clase genérica de los lanzadores espaciales lanzados en el año anterior declarados de conformidad con el mecanismo de notificación previa al lanzamiento (</w:t>
      </w:r>
      <w:proofErr w:type="spellStart"/>
      <w:r w:rsidR="001D2634" w:rsidRPr="008F486E">
        <w:rPr>
          <w:rFonts w:ascii="Arial" w:hAnsi="Arial" w:cs="Arial"/>
          <w:i/>
          <w:sz w:val="24"/>
          <w:szCs w:val="24"/>
        </w:rPr>
        <w:t>ad.ex</w:t>
      </w:r>
      <w:proofErr w:type="spellEnd"/>
      <w:r w:rsidR="001D2634" w:rsidRPr="008F486E">
        <w:rPr>
          <w:rFonts w:ascii="Arial" w:hAnsi="Arial" w:cs="Arial"/>
          <w:i/>
          <w:sz w:val="24"/>
          <w:szCs w:val="24"/>
        </w:rPr>
        <w:t>.</w:t>
      </w:r>
      <w:r w:rsidR="001D2634" w:rsidRPr="008F486E">
        <w:rPr>
          <w:rFonts w:ascii="Arial" w:hAnsi="Arial" w:cs="Arial"/>
          <w:sz w:val="24"/>
          <w:szCs w:val="24"/>
        </w:rPr>
        <w:t xml:space="preserve"> </w:t>
      </w:r>
      <w:r w:rsidR="004E78C3" w:rsidRPr="008F486E">
        <w:rPr>
          <w:rFonts w:ascii="Arial" w:hAnsi="Arial" w:cs="Arial"/>
          <w:sz w:val="24"/>
          <w:szCs w:val="24"/>
        </w:rPr>
        <w:t xml:space="preserve">clase genérica del misil o lanzador, zona de </w:t>
      </w:r>
      <w:r w:rsidR="001D2634" w:rsidRPr="008F486E">
        <w:rPr>
          <w:rFonts w:ascii="Arial" w:hAnsi="Arial" w:cs="Arial"/>
          <w:sz w:val="24"/>
          <w:szCs w:val="24"/>
        </w:rPr>
        <w:t>lanzamiento, dirección prevista</w:t>
      </w:r>
      <w:r w:rsidR="004E78C3" w:rsidRPr="008F486E">
        <w:rPr>
          <w:rFonts w:ascii="Arial" w:hAnsi="Arial" w:cs="Arial"/>
          <w:sz w:val="24"/>
          <w:szCs w:val="24"/>
        </w:rPr>
        <w:t xml:space="preserve">) y  </w:t>
      </w:r>
      <w:r w:rsidR="00D747DD" w:rsidRPr="008F486E">
        <w:rPr>
          <w:rFonts w:ascii="Arial" w:hAnsi="Arial" w:cs="Arial"/>
          <w:sz w:val="24"/>
          <w:szCs w:val="24"/>
        </w:rPr>
        <w:t>c</w:t>
      </w:r>
      <w:r w:rsidR="004E78C3" w:rsidRPr="008F486E">
        <w:rPr>
          <w:rFonts w:ascii="Arial" w:hAnsi="Arial" w:cs="Arial"/>
          <w:sz w:val="24"/>
          <w:szCs w:val="24"/>
        </w:rPr>
        <w:t>onsiderar la posibilidad de, con carácter voluntario (incluida la medida de acceso permitido), invitar a observadores internacionales a las instalaciones terrestres de (ensayo-) lanzamiento.</w:t>
      </w:r>
    </w:p>
    <w:p w:rsidR="0036507D" w:rsidRPr="008F486E" w:rsidRDefault="0036507D" w:rsidP="008F486E">
      <w:pPr>
        <w:spacing w:line="360" w:lineRule="auto"/>
        <w:ind w:firstLine="360"/>
        <w:jc w:val="both"/>
        <w:rPr>
          <w:rFonts w:ascii="Arial" w:hAnsi="Arial" w:cs="Arial"/>
          <w:sz w:val="24"/>
          <w:szCs w:val="24"/>
        </w:rPr>
      </w:pPr>
    </w:p>
    <w:p w:rsidR="00840B80" w:rsidRPr="008F486E" w:rsidRDefault="00B370D5" w:rsidP="008F486E">
      <w:pPr>
        <w:spacing w:line="360" w:lineRule="auto"/>
        <w:jc w:val="both"/>
        <w:rPr>
          <w:rFonts w:ascii="Arial" w:hAnsi="Arial" w:cs="Arial"/>
          <w:b/>
          <w:sz w:val="24"/>
          <w:szCs w:val="24"/>
        </w:rPr>
      </w:pPr>
      <w:r w:rsidRPr="008F486E">
        <w:rPr>
          <w:rFonts w:ascii="Arial" w:hAnsi="Arial" w:cs="Arial"/>
          <w:b/>
          <w:sz w:val="24"/>
          <w:szCs w:val="24"/>
        </w:rPr>
        <w:t>I</w:t>
      </w:r>
      <w:r w:rsidR="00B94FDD" w:rsidRPr="008F486E">
        <w:rPr>
          <w:rFonts w:ascii="Arial" w:hAnsi="Arial" w:cs="Arial"/>
          <w:b/>
          <w:sz w:val="24"/>
          <w:szCs w:val="24"/>
        </w:rPr>
        <w:t>I.D</w:t>
      </w:r>
      <w:r w:rsidRPr="008F486E">
        <w:rPr>
          <w:rFonts w:ascii="Arial" w:hAnsi="Arial" w:cs="Arial"/>
          <w:b/>
          <w:sz w:val="24"/>
          <w:szCs w:val="24"/>
        </w:rPr>
        <w:t xml:space="preserve">. </w:t>
      </w:r>
      <w:r w:rsidR="00840B80" w:rsidRPr="008F486E">
        <w:rPr>
          <w:rFonts w:ascii="Arial" w:hAnsi="Arial" w:cs="Arial"/>
          <w:b/>
          <w:sz w:val="24"/>
          <w:szCs w:val="24"/>
        </w:rPr>
        <w:t>Ámbito</w:t>
      </w:r>
      <w:r w:rsidR="009333EC" w:rsidRPr="008F486E">
        <w:rPr>
          <w:rFonts w:ascii="Arial" w:hAnsi="Arial" w:cs="Arial"/>
          <w:b/>
          <w:sz w:val="24"/>
          <w:szCs w:val="24"/>
        </w:rPr>
        <w:t>s</w:t>
      </w:r>
      <w:r w:rsidR="00840B80" w:rsidRPr="008F486E">
        <w:rPr>
          <w:rFonts w:ascii="Arial" w:hAnsi="Arial" w:cs="Arial"/>
          <w:b/>
          <w:sz w:val="24"/>
          <w:szCs w:val="24"/>
        </w:rPr>
        <w:t xml:space="preserve"> nacional</w:t>
      </w:r>
      <w:r w:rsidR="009333EC" w:rsidRPr="008F486E">
        <w:rPr>
          <w:rFonts w:ascii="Arial" w:hAnsi="Arial" w:cs="Arial"/>
          <w:b/>
          <w:sz w:val="24"/>
          <w:szCs w:val="24"/>
        </w:rPr>
        <w:t>es</w:t>
      </w:r>
    </w:p>
    <w:p w:rsidR="00840B80" w:rsidRPr="008F486E" w:rsidRDefault="002656CB" w:rsidP="008F486E">
      <w:pPr>
        <w:spacing w:line="360" w:lineRule="auto"/>
        <w:ind w:firstLine="708"/>
        <w:jc w:val="both"/>
        <w:rPr>
          <w:rFonts w:ascii="Arial" w:hAnsi="Arial" w:cs="Arial"/>
          <w:sz w:val="24"/>
          <w:szCs w:val="24"/>
        </w:rPr>
      </w:pPr>
      <w:r w:rsidRPr="008F486E">
        <w:rPr>
          <w:rFonts w:ascii="Arial" w:hAnsi="Arial" w:cs="Arial"/>
          <w:sz w:val="24"/>
          <w:szCs w:val="24"/>
        </w:rPr>
        <w:t>La Asamblea General de las Naciones Unidas hace hincapié en fomentar que las normas relevantes del derecho espacial contenidas en el Tratado del Espacio de 1967, el Acuerdo sobre el Salvamento de 1968, el Convenio sobre la Responsabilidad de 1972 y el Convenio sobre el Registro</w:t>
      </w:r>
      <w:r w:rsidR="00EE5B50" w:rsidRPr="008F486E">
        <w:rPr>
          <w:rFonts w:ascii="Arial" w:hAnsi="Arial" w:cs="Arial"/>
          <w:sz w:val="24"/>
          <w:szCs w:val="24"/>
        </w:rPr>
        <w:t xml:space="preserve"> de 1975,</w:t>
      </w:r>
      <w:r w:rsidR="00FA45C7" w:rsidRPr="008F486E">
        <w:rPr>
          <w:rFonts w:ascii="Arial" w:hAnsi="Arial" w:cs="Arial"/>
          <w:sz w:val="24"/>
          <w:szCs w:val="24"/>
        </w:rPr>
        <w:t xml:space="preserve"> sean aceptadas por</w:t>
      </w:r>
      <w:r w:rsidRPr="008F486E">
        <w:rPr>
          <w:rFonts w:ascii="Arial" w:hAnsi="Arial" w:cs="Arial"/>
          <w:sz w:val="24"/>
          <w:szCs w:val="24"/>
        </w:rPr>
        <w:t xml:space="preserve"> aquellos Estados de la Comunidad Internacional que lleven a cabo actividades de exploración y utilización del espacio ultraterrestre con fines pacíficos a través </w:t>
      </w:r>
      <w:r w:rsidR="0058028B" w:rsidRPr="008F486E">
        <w:rPr>
          <w:rFonts w:ascii="Arial" w:hAnsi="Arial" w:cs="Arial"/>
          <w:sz w:val="24"/>
          <w:szCs w:val="24"/>
        </w:rPr>
        <w:t>de la adhesión o ratificación a</w:t>
      </w:r>
      <w:r w:rsidRPr="008F486E">
        <w:rPr>
          <w:rFonts w:ascii="Arial" w:hAnsi="Arial" w:cs="Arial"/>
          <w:sz w:val="24"/>
          <w:szCs w:val="24"/>
        </w:rPr>
        <w:t xml:space="preserve"> estos Convenios. Una vez, los Estados hayan ratificado o se hayan adherido a un Convenio o Tratado internacional, inmediatamente sus disposiciones pasan a ser de aplicación en sus respectivos ámbitos jurídicos nacionales. </w:t>
      </w:r>
      <w:r w:rsidR="0058028B" w:rsidRPr="008F486E">
        <w:rPr>
          <w:rFonts w:ascii="Arial" w:hAnsi="Arial" w:cs="Arial"/>
          <w:sz w:val="24"/>
          <w:szCs w:val="24"/>
        </w:rPr>
        <w:t>S</w:t>
      </w:r>
      <w:r w:rsidR="00BC4048" w:rsidRPr="008F486E">
        <w:rPr>
          <w:rFonts w:ascii="Arial" w:hAnsi="Arial" w:cs="Arial"/>
          <w:sz w:val="24"/>
          <w:szCs w:val="24"/>
        </w:rPr>
        <w:t>in embar</w:t>
      </w:r>
      <w:r w:rsidRPr="008F486E">
        <w:rPr>
          <w:rFonts w:ascii="Arial" w:hAnsi="Arial" w:cs="Arial"/>
          <w:sz w:val="24"/>
          <w:szCs w:val="24"/>
        </w:rPr>
        <w:t xml:space="preserve">go esto </w:t>
      </w:r>
      <w:r w:rsidRPr="008F486E">
        <w:rPr>
          <w:rFonts w:ascii="Arial" w:hAnsi="Arial" w:cs="Arial"/>
          <w:sz w:val="24"/>
          <w:szCs w:val="24"/>
        </w:rPr>
        <w:lastRenderedPageBreak/>
        <w:t>no es suficiente y se insta a estos Estados</w:t>
      </w:r>
      <w:r w:rsidR="0058028B" w:rsidRPr="008F486E">
        <w:rPr>
          <w:rFonts w:ascii="Arial" w:hAnsi="Arial" w:cs="Arial"/>
          <w:sz w:val="24"/>
          <w:szCs w:val="24"/>
        </w:rPr>
        <w:t xml:space="preserve"> a que aprueben leyes, reglamentos, o normas sobre las actividades </w:t>
      </w:r>
      <w:r w:rsidR="00D83B44" w:rsidRPr="008F486E">
        <w:rPr>
          <w:rFonts w:ascii="Arial" w:hAnsi="Arial" w:cs="Arial"/>
          <w:sz w:val="24"/>
          <w:szCs w:val="24"/>
        </w:rPr>
        <w:t>desarrolladas o relacionadas con la exploración y utilización del espacio</w:t>
      </w:r>
      <w:r w:rsidR="0058028B" w:rsidRPr="008F486E">
        <w:rPr>
          <w:rFonts w:ascii="Arial" w:hAnsi="Arial" w:cs="Arial"/>
          <w:sz w:val="24"/>
          <w:szCs w:val="24"/>
        </w:rPr>
        <w:t>.</w:t>
      </w:r>
    </w:p>
    <w:p w:rsidR="00F272BC" w:rsidRPr="008F486E" w:rsidRDefault="001A5A67" w:rsidP="008F486E">
      <w:pPr>
        <w:spacing w:line="360" w:lineRule="auto"/>
        <w:ind w:firstLine="708"/>
        <w:jc w:val="both"/>
        <w:rPr>
          <w:rFonts w:ascii="Arial" w:hAnsi="Arial" w:cs="Arial"/>
          <w:sz w:val="24"/>
          <w:szCs w:val="24"/>
        </w:rPr>
      </w:pPr>
      <w:r w:rsidRPr="008F486E">
        <w:rPr>
          <w:rFonts w:ascii="Arial" w:hAnsi="Arial" w:cs="Arial"/>
          <w:sz w:val="24"/>
          <w:szCs w:val="24"/>
        </w:rPr>
        <w:t>Son muchos</w:t>
      </w:r>
      <w:r w:rsidR="00D83B44" w:rsidRPr="008F486E">
        <w:rPr>
          <w:rFonts w:ascii="Arial" w:hAnsi="Arial" w:cs="Arial"/>
          <w:sz w:val="24"/>
          <w:szCs w:val="24"/>
        </w:rPr>
        <w:t xml:space="preserve"> los Estados que han legislado en sus respec</w:t>
      </w:r>
      <w:r w:rsidR="00FF0FD7" w:rsidRPr="008F486E">
        <w:rPr>
          <w:rFonts w:ascii="Arial" w:hAnsi="Arial" w:cs="Arial"/>
          <w:sz w:val="24"/>
          <w:szCs w:val="24"/>
        </w:rPr>
        <w:t xml:space="preserve">tivos ámbitos </w:t>
      </w:r>
      <w:r w:rsidR="00EF6CAD" w:rsidRPr="008F486E">
        <w:rPr>
          <w:rFonts w:ascii="Arial" w:hAnsi="Arial" w:cs="Arial"/>
          <w:sz w:val="24"/>
          <w:szCs w:val="24"/>
        </w:rPr>
        <w:t>nacionales,</w:t>
      </w:r>
      <w:r w:rsidRPr="008F486E">
        <w:rPr>
          <w:rFonts w:ascii="Arial" w:hAnsi="Arial" w:cs="Arial"/>
          <w:sz w:val="24"/>
          <w:szCs w:val="24"/>
        </w:rPr>
        <w:t xml:space="preserve"> a modo de ejemplo citaremos los siguientes : </w:t>
      </w:r>
      <w:r w:rsidR="00EF6CAD" w:rsidRPr="008F486E">
        <w:rPr>
          <w:rFonts w:ascii="Arial" w:hAnsi="Arial" w:cs="Arial"/>
          <w:sz w:val="24"/>
          <w:szCs w:val="24"/>
        </w:rPr>
        <w:t>Argentina (</w:t>
      </w:r>
      <w:r w:rsidR="00FF0FD7" w:rsidRPr="008F486E">
        <w:rPr>
          <w:rFonts w:ascii="Arial" w:hAnsi="Arial" w:cs="Arial"/>
          <w:sz w:val="24"/>
          <w:szCs w:val="24"/>
        </w:rPr>
        <w:t>Decreto N</w:t>
      </w:r>
      <w:r w:rsidR="00D83B44" w:rsidRPr="008F486E">
        <w:rPr>
          <w:rFonts w:ascii="Arial" w:hAnsi="Arial" w:cs="Arial"/>
          <w:sz w:val="24"/>
          <w:szCs w:val="24"/>
        </w:rPr>
        <w:t>acional 125/95, de 19 de julio, por el que se crea el Registro Nacional de Objetos lanzados al Espacio Ultraterrestre</w:t>
      </w:r>
      <w:r w:rsidR="00E72B24" w:rsidRPr="008F486E">
        <w:rPr>
          <w:rFonts w:ascii="Arial" w:hAnsi="Arial" w:cs="Arial"/>
          <w:sz w:val="24"/>
          <w:szCs w:val="24"/>
        </w:rPr>
        <w:t xml:space="preserve">), </w:t>
      </w:r>
      <w:r w:rsidR="00EF6CAD" w:rsidRPr="008F486E">
        <w:rPr>
          <w:rFonts w:ascii="Arial" w:hAnsi="Arial" w:cs="Arial"/>
          <w:sz w:val="24"/>
          <w:szCs w:val="24"/>
        </w:rPr>
        <w:t>Australia (Ley sobre Actividades Espaciales</w:t>
      </w:r>
      <w:r w:rsidR="003C729B" w:rsidRPr="008F486E">
        <w:rPr>
          <w:rFonts w:ascii="Arial" w:hAnsi="Arial" w:cs="Arial"/>
          <w:sz w:val="24"/>
          <w:szCs w:val="24"/>
        </w:rPr>
        <w:t>,</w:t>
      </w:r>
      <w:r w:rsidR="00EF6CAD" w:rsidRPr="008F486E">
        <w:rPr>
          <w:rFonts w:ascii="Arial" w:hAnsi="Arial" w:cs="Arial"/>
          <w:sz w:val="24"/>
          <w:szCs w:val="24"/>
        </w:rPr>
        <w:t xml:space="preserve"> de 1998), </w:t>
      </w:r>
      <w:r w:rsidR="00D83B44" w:rsidRPr="008F486E">
        <w:rPr>
          <w:rFonts w:ascii="Arial" w:hAnsi="Arial" w:cs="Arial"/>
          <w:sz w:val="24"/>
          <w:szCs w:val="24"/>
        </w:rPr>
        <w:t xml:space="preserve"> </w:t>
      </w:r>
      <w:r w:rsidR="00EF6CAD" w:rsidRPr="008F486E">
        <w:rPr>
          <w:rFonts w:ascii="Arial" w:hAnsi="Arial" w:cs="Arial"/>
          <w:sz w:val="24"/>
          <w:szCs w:val="24"/>
        </w:rPr>
        <w:t>Austria (Ley sobre la Autorización de Actividades Espaciales y el Establecimiento de un Registro Nacional), Bélgica (Ley relativa a las actividades de lanzamiento, de operación en vuelo y de guía de los objetos espaciales de 2005 y Real Decreto por el que se ejecuta las disposiciones de la Ley de 17 de septiembre de 2005), China (Orden</w:t>
      </w:r>
      <w:r w:rsidR="003C729B" w:rsidRPr="008F486E">
        <w:rPr>
          <w:rFonts w:ascii="Arial" w:hAnsi="Arial" w:cs="Arial"/>
          <w:sz w:val="24"/>
          <w:szCs w:val="24"/>
        </w:rPr>
        <w:t>anza del Espacio Ultraterrestre,</w:t>
      </w:r>
      <w:r w:rsidR="00F272BC" w:rsidRPr="008F486E">
        <w:rPr>
          <w:rFonts w:ascii="Arial" w:hAnsi="Arial" w:cs="Arial"/>
          <w:sz w:val="24"/>
          <w:szCs w:val="24"/>
        </w:rPr>
        <w:t xml:space="preserve"> </w:t>
      </w:r>
      <w:r w:rsidR="00EF6CAD" w:rsidRPr="008F486E">
        <w:rPr>
          <w:rFonts w:ascii="Arial" w:hAnsi="Arial" w:cs="Arial"/>
          <w:sz w:val="24"/>
          <w:szCs w:val="24"/>
        </w:rPr>
        <w:t>de 1999</w:t>
      </w:r>
      <w:r w:rsidR="003C729B" w:rsidRPr="008F486E">
        <w:rPr>
          <w:rFonts w:ascii="Arial" w:hAnsi="Arial" w:cs="Arial"/>
          <w:sz w:val="24"/>
          <w:szCs w:val="24"/>
        </w:rPr>
        <w:t>)</w:t>
      </w:r>
      <w:r w:rsidR="004D6858" w:rsidRPr="008F486E">
        <w:rPr>
          <w:rFonts w:ascii="Arial" w:hAnsi="Arial" w:cs="Arial"/>
          <w:sz w:val="24"/>
          <w:szCs w:val="24"/>
        </w:rPr>
        <w:t>, España (Real D</w:t>
      </w:r>
      <w:r w:rsidR="00EF6CAD" w:rsidRPr="008F486E">
        <w:rPr>
          <w:rFonts w:ascii="Arial" w:hAnsi="Arial" w:cs="Arial"/>
          <w:sz w:val="24"/>
          <w:szCs w:val="24"/>
        </w:rPr>
        <w:t>ecreto</w:t>
      </w:r>
      <w:r w:rsidR="004D6858" w:rsidRPr="008F486E">
        <w:rPr>
          <w:rFonts w:ascii="Arial" w:hAnsi="Arial" w:cs="Arial"/>
          <w:sz w:val="24"/>
          <w:szCs w:val="24"/>
        </w:rPr>
        <w:t xml:space="preserve"> </w:t>
      </w:r>
      <w:r w:rsidR="00EF6CAD" w:rsidRPr="008F486E">
        <w:rPr>
          <w:rFonts w:ascii="Arial" w:hAnsi="Arial" w:cs="Arial"/>
          <w:sz w:val="24"/>
          <w:szCs w:val="24"/>
        </w:rPr>
        <w:t>278/1995, de 24 de febrero, p</w:t>
      </w:r>
      <w:r w:rsidR="00FA45C7" w:rsidRPr="008F486E">
        <w:rPr>
          <w:rFonts w:ascii="Arial" w:hAnsi="Arial" w:cs="Arial"/>
          <w:sz w:val="24"/>
          <w:szCs w:val="24"/>
        </w:rPr>
        <w:t>or el que se crea en España el R</w:t>
      </w:r>
      <w:r w:rsidR="00EF6CAD" w:rsidRPr="008F486E">
        <w:rPr>
          <w:rFonts w:ascii="Arial" w:hAnsi="Arial" w:cs="Arial"/>
          <w:sz w:val="24"/>
          <w:szCs w:val="24"/>
        </w:rPr>
        <w:t>egistro previsto en el Convenio sobre el Registro), Est</w:t>
      </w:r>
      <w:r w:rsidR="003C729B" w:rsidRPr="008F486E">
        <w:rPr>
          <w:rFonts w:ascii="Arial" w:hAnsi="Arial" w:cs="Arial"/>
          <w:sz w:val="24"/>
          <w:szCs w:val="24"/>
        </w:rPr>
        <w:t>ados Unidos de América (Ley sobre Actividades Espaciales Comercial</w:t>
      </w:r>
      <w:r w:rsidR="007B18D3" w:rsidRPr="008F486E">
        <w:rPr>
          <w:rFonts w:ascii="Arial" w:hAnsi="Arial" w:cs="Arial"/>
          <w:sz w:val="24"/>
          <w:szCs w:val="24"/>
        </w:rPr>
        <w:t>es, de 2015</w:t>
      </w:r>
      <w:r w:rsidR="003C729B" w:rsidRPr="008F486E">
        <w:rPr>
          <w:rFonts w:ascii="Arial" w:hAnsi="Arial" w:cs="Arial"/>
          <w:sz w:val="24"/>
          <w:szCs w:val="24"/>
        </w:rPr>
        <w:t>), Francia (Ley relativa a las Operaciones Espaciales de 2008, modificada en 2011), Holanda (Ley sobre Actividades Espaciales, de 2006), Ja</w:t>
      </w:r>
      <w:r w:rsidR="00FA45C7" w:rsidRPr="008F486E">
        <w:rPr>
          <w:rFonts w:ascii="Arial" w:hAnsi="Arial" w:cs="Arial"/>
          <w:sz w:val="24"/>
          <w:szCs w:val="24"/>
        </w:rPr>
        <w:t>pón (Ley Fundamental sobre el E</w:t>
      </w:r>
      <w:r w:rsidR="003C729B" w:rsidRPr="008F486E">
        <w:rPr>
          <w:rFonts w:ascii="Arial" w:hAnsi="Arial" w:cs="Arial"/>
          <w:sz w:val="24"/>
          <w:szCs w:val="24"/>
        </w:rPr>
        <w:t xml:space="preserve">spacio Ultraterrestre, de 2008, </w:t>
      </w:r>
      <w:r w:rsidR="00F272BC" w:rsidRPr="008F486E">
        <w:rPr>
          <w:rFonts w:ascii="Arial" w:hAnsi="Arial" w:cs="Arial"/>
          <w:sz w:val="24"/>
          <w:szCs w:val="24"/>
        </w:rPr>
        <w:t>C</w:t>
      </w:r>
      <w:r w:rsidR="003C729B" w:rsidRPr="008F486E">
        <w:rPr>
          <w:rFonts w:ascii="Arial" w:hAnsi="Arial" w:cs="Arial"/>
          <w:sz w:val="24"/>
          <w:szCs w:val="24"/>
        </w:rPr>
        <w:t xml:space="preserve">orea (Ley de Explotación Espacial de 2005), </w:t>
      </w:r>
      <w:r w:rsidR="00F272BC" w:rsidRPr="008F486E">
        <w:rPr>
          <w:rFonts w:ascii="Arial" w:hAnsi="Arial" w:cs="Arial"/>
          <w:sz w:val="24"/>
          <w:szCs w:val="24"/>
        </w:rPr>
        <w:t>Noruega (Ley sobre el Lanzamiento de objetos espaciales desde territorio noruego al espacio ultraterrestre, de 19</w:t>
      </w:r>
      <w:r w:rsidR="004D6858" w:rsidRPr="008F486E">
        <w:rPr>
          <w:rFonts w:ascii="Arial" w:hAnsi="Arial" w:cs="Arial"/>
          <w:sz w:val="24"/>
          <w:szCs w:val="24"/>
        </w:rPr>
        <w:t>69), Reino Unido (Ley sobre el Espacio U</w:t>
      </w:r>
      <w:r w:rsidR="00F272BC" w:rsidRPr="008F486E">
        <w:rPr>
          <w:rFonts w:ascii="Arial" w:hAnsi="Arial" w:cs="Arial"/>
          <w:sz w:val="24"/>
          <w:szCs w:val="24"/>
        </w:rPr>
        <w:t>ltraterrestre, de 1986), Federación de Rusia</w:t>
      </w:r>
      <w:r w:rsidR="00565901" w:rsidRPr="008F486E">
        <w:rPr>
          <w:rFonts w:ascii="Arial" w:hAnsi="Arial" w:cs="Arial"/>
          <w:sz w:val="24"/>
          <w:szCs w:val="24"/>
        </w:rPr>
        <w:t xml:space="preserve"> (Ley sobre Actividad E</w:t>
      </w:r>
      <w:r w:rsidR="00FA45C7" w:rsidRPr="008F486E">
        <w:rPr>
          <w:rFonts w:ascii="Arial" w:hAnsi="Arial" w:cs="Arial"/>
          <w:sz w:val="24"/>
          <w:szCs w:val="24"/>
        </w:rPr>
        <w:t xml:space="preserve">spacial de 1993, </w:t>
      </w:r>
      <w:r w:rsidR="00F272BC" w:rsidRPr="008F486E">
        <w:rPr>
          <w:rFonts w:ascii="Arial" w:hAnsi="Arial" w:cs="Arial"/>
          <w:sz w:val="24"/>
          <w:szCs w:val="24"/>
        </w:rPr>
        <w:t xml:space="preserve"> modificada), Sudáfrica (Ley sobre asuntos espaciales, de 1995), Suecia (Ley sobre act</w:t>
      </w:r>
      <w:r w:rsidR="00EE5B50" w:rsidRPr="008F486E">
        <w:rPr>
          <w:rFonts w:ascii="Arial" w:hAnsi="Arial" w:cs="Arial"/>
          <w:sz w:val="24"/>
          <w:szCs w:val="24"/>
        </w:rPr>
        <w:t>ividades espaciales, de 1982 y D</w:t>
      </w:r>
      <w:r w:rsidR="00F272BC" w:rsidRPr="008F486E">
        <w:rPr>
          <w:rFonts w:ascii="Arial" w:hAnsi="Arial" w:cs="Arial"/>
          <w:sz w:val="24"/>
          <w:szCs w:val="24"/>
        </w:rPr>
        <w:t>ecreto sobre actividades espaciales, de 1982), Ucrania (Ordenanza sobre actividad espacial, de 1997).</w:t>
      </w:r>
    </w:p>
    <w:p w:rsidR="00F473E4" w:rsidRPr="008F486E" w:rsidRDefault="00F272BC" w:rsidP="008F486E">
      <w:pPr>
        <w:spacing w:line="360" w:lineRule="auto"/>
        <w:ind w:firstLine="708"/>
        <w:jc w:val="both"/>
        <w:rPr>
          <w:rFonts w:ascii="Arial" w:hAnsi="Arial" w:cs="Arial"/>
          <w:sz w:val="24"/>
          <w:szCs w:val="24"/>
        </w:rPr>
      </w:pPr>
      <w:r w:rsidRPr="008F486E">
        <w:rPr>
          <w:rFonts w:ascii="Arial" w:hAnsi="Arial" w:cs="Arial"/>
          <w:sz w:val="24"/>
          <w:szCs w:val="24"/>
        </w:rPr>
        <w:t>A esta normativa</w:t>
      </w:r>
      <w:r w:rsidR="00D747DD" w:rsidRPr="008F486E">
        <w:rPr>
          <w:rFonts w:ascii="Arial" w:hAnsi="Arial" w:cs="Arial"/>
          <w:sz w:val="24"/>
          <w:szCs w:val="24"/>
        </w:rPr>
        <w:t xml:space="preserve"> que en varios países es</w:t>
      </w:r>
      <w:r w:rsidR="00FA45C7" w:rsidRPr="008F486E">
        <w:rPr>
          <w:rFonts w:ascii="Arial" w:hAnsi="Arial" w:cs="Arial"/>
          <w:sz w:val="24"/>
          <w:szCs w:val="24"/>
        </w:rPr>
        <w:t xml:space="preserve"> más</w:t>
      </w:r>
      <w:r w:rsidR="00D747DD" w:rsidRPr="008F486E">
        <w:rPr>
          <w:rFonts w:ascii="Arial" w:hAnsi="Arial" w:cs="Arial"/>
          <w:sz w:val="24"/>
          <w:szCs w:val="24"/>
        </w:rPr>
        <w:t xml:space="preserve"> prolífica</w:t>
      </w:r>
      <w:r w:rsidR="004D6858" w:rsidRPr="008F486E">
        <w:rPr>
          <w:rFonts w:ascii="Arial" w:hAnsi="Arial" w:cs="Arial"/>
          <w:sz w:val="24"/>
          <w:szCs w:val="24"/>
        </w:rPr>
        <w:t>,</w:t>
      </w:r>
      <w:r w:rsidRPr="008F486E">
        <w:rPr>
          <w:rFonts w:ascii="Arial" w:hAnsi="Arial" w:cs="Arial"/>
          <w:sz w:val="24"/>
          <w:szCs w:val="24"/>
        </w:rPr>
        <w:t xml:space="preserve"> hay que sumarle las ley</w:t>
      </w:r>
      <w:r w:rsidR="00FA45C7" w:rsidRPr="008F486E">
        <w:rPr>
          <w:rFonts w:ascii="Arial" w:hAnsi="Arial" w:cs="Arial"/>
          <w:sz w:val="24"/>
          <w:szCs w:val="24"/>
        </w:rPr>
        <w:t xml:space="preserve">es, decretos u otros mecanismos </w:t>
      </w:r>
      <w:r w:rsidRPr="008F486E">
        <w:rPr>
          <w:rFonts w:ascii="Arial" w:hAnsi="Arial" w:cs="Arial"/>
          <w:sz w:val="24"/>
          <w:szCs w:val="24"/>
        </w:rPr>
        <w:t>mediante los cuales se constituyen las ag</w:t>
      </w:r>
      <w:r w:rsidR="00F473E4" w:rsidRPr="008F486E">
        <w:rPr>
          <w:rFonts w:ascii="Arial" w:hAnsi="Arial" w:cs="Arial"/>
          <w:sz w:val="24"/>
          <w:szCs w:val="24"/>
        </w:rPr>
        <w:t>encias espaciales nacionales. Las principales agencias espaciales y que cuentan con mayor presupuesto</w:t>
      </w:r>
      <w:r w:rsidR="00FA45C7" w:rsidRPr="008F486E">
        <w:rPr>
          <w:rFonts w:ascii="Arial" w:hAnsi="Arial" w:cs="Arial"/>
          <w:sz w:val="24"/>
          <w:szCs w:val="24"/>
        </w:rPr>
        <w:t xml:space="preserve"> en investigación espacial son </w:t>
      </w:r>
      <w:r w:rsidR="00F473E4" w:rsidRPr="008F486E">
        <w:rPr>
          <w:rFonts w:ascii="Arial" w:hAnsi="Arial" w:cs="Arial"/>
          <w:sz w:val="24"/>
          <w:szCs w:val="24"/>
        </w:rPr>
        <w:t>: NASA (Agencia Espacial Estadounidense), ESA</w:t>
      </w:r>
      <w:r w:rsidR="00EC2DF9" w:rsidRPr="008F486E">
        <w:rPr>
          <w:rFonts w:ascii="Arial" w:hAnsi="Arial" w:cs="Arial"/>
          <w:sz w:val="24"/>
          <w:szCs w:val="24"/>
        </w:rPr>
        <w:t xml:space="preserve"> </w:t>
      </w:r>
      <w:r w:rsidR="00F473E4" w:rsidRPr="008F486E">
        <w:rPr>
          <w:rFonts w:ascii="Arial" w:hAnsi="Arial" w:cs="Arial"/>
          <w:sz w:val="24"/>
          <w:szCs w:val="24"/>
        </w:rPr>
        <w:t>(Agencia Espacial Europea),  ROSCOSMOS (Agencia Espacial de la Federación de Rusia), JAXA (Agencia Espacial Japonesa de Exploración Aeroespacial), CNSA (Administración Nacional Espacial China) e ISRO (Agencia India de Investigación Espacial).</w:t>
      </w:r>
    </w:p>
    <w:p w:rsidR="00F96A93" w:rsidRPr="008F486E" w:rsidRDefault="00F84247" w:rsidP="008F486E">
      <w:pPr>
        <w:spacing w:line="360" w:lineRule="auto"/>
        <w:ind w:firstLine="708"/>
        <w:jc w:val="both"/>
        <w:rPr>
          <w:rFonts w:ascii="Arial" w:hAnsi="Arial" w:cs="Arial"/>
          <w:sz w:val="24"/>
          <w:szCs w:val="24"/>
        </w:rPr>
      </w:pPr>
      <w:r w:rsidRPr="008F486E">
        <w:rPr>
          <w:rFonts w:ascii="Arial" w:hAnsi="Arial" w:cs="Arial"/>
          <w:sz w:val="24"/>
          <w:szCs w:val="24"/>
        </w:rPr>
        <w:lastRenderedPageBreak/>
        <w:t>Respecto a España, su pertenencia a la Comisión sobre Utilización Pacífica del</w:t>
      </w:r>
      <w:r w:rsidR="00F91DD3" w:rsidRPr="008F486E">
        <w:rPr>
          <w:rFonts w:ascii="Arial" w:hAnsi="Arial" w:cs="Arial"/>
          <w:sz w:val="24"/>
          <w:szCs w:val="24"/>
        </w:rPr>
        <w:t xml:space="preserve"> Espacio Ultraterrestre de las N</w:t>
      </w:r>
      <w:r w:rsidRPr="008F486E">
        <w:rPr>
          <w:rFonts w:ascii="Arial" w:hAnsi="Arial" w:cs="Arial"/>
          <w:sz w:val="24"/>
          <w:szCs w:val="24"/>
        </w:rPr>
        <w:t>aciones Unidas, a la Unión Europea y a la Agencia Espacial Europea y otras iniciativas espaciales y conexas, tanto a nivel nacional como internacional, han sido fundamentales para afrontar los nuevos retos de la globalización acelerando nuestr</w:t>
      </w:r>
      <w:r w:rsidR="00EE5B50" w:rsidRPr="008F486E">
        <w:rPr>
          <w:rFonts w:ascii="Arial" w:hAnsi="Arial" w:cs="Arial"/>
          <w:sz w:val="24"/>
          <w:szCs w:val="24"/>
        </w:rPr>
        <w:t>o desarrollo económico y</w:t>
      </w:r>
      <w:r w:rsidRPr="008F486E">
        <w:rPr>
          <w:rFonts w:ascii="Arial" w:hAnsi="Arial" w:cs="Arial"/>
          <w:sz w:val="24"/>
          <w:szCs w:val="24"/>
        </w:rPr>
        <w:t xml:space="preserve"> competitividad.</w:t>
      </w:r>
    </w:p>
    <w:p w:rsidR="00387CCF" w:rsidRPr="008F486E" w:rsidRDefault="00387CCF" w:rsidP="008F486E">
      <w:pPr>
        <w:spacing w:line="360" w:lineRule="auto"/>
        <w:ind w:firstLine="708"/>
        <w:jc w:val="both"/>
        <w:rPr>
          <w:rFonts w:ascii="Arial" w:hAnsi="Arial" w:cs="Arial"/>
          <w:sz w:val="24"/>
          <w:szCs w:val="24"/>
        </w:rPr>
      </w:pPr>
    </w:p>
    <w:p w:rsidR="00387CCF" w:rsidRPr="008F486E" w:rsidRDefault="00387CCF" w:rsidP="008F486E">
      <w:pPr>
        <w:spacing w:line="360" w:lineRule="auto"/>
        <w:ind w:firstLine="708"/>
        <w:jc w:val="both"/>
        <w:rPr>
          <w:rFonts w:ascii="Arial" w:hAnsi="Arial" w:cs="Arial"/>
          <w:sz w:val="24"/>
          <w:szCs w:val="24"/>
        </w:rPr>
      </w:pPr>
    </w:p>
    <w:p w:rsidR="00B3755A" w:rsidRPr="008F486E" w:rsidRDefault="00CA3CBF" w:rsidP="008F486E">
      <w:pPr>
        <w:pStyle w:val="Prrafodelista"/>
        <w:numPr>
          <w:ilvl w:val="0"/>
          <w:numId w:val="34"/>
        </w:numPr>
        <w:spacing w:line="360" w:lineRule="auto"/>
        <w:rPr>
          <w:rFonts w:ascii="Arial" w:hAnsi="Arial" w:cs="Arial"/>
          <w:b/>
          <w:sz w:val="24"/>
          <w:szCs w:val="24"/>
        </w:rPr>
      </w:pPr>
      <w:r w:rsidRPr="008F486E">
        <w:rPr>
          <w:rFonts w:ascii="Arial" w:hAnsi="Arial" w:cs="Arial"/>
          <w:b/>
          <w:sz w:val="24"/>
          <w:szCs w:val="24"/>
        </w:rPr>
        <w:t>CONCLUSIONES</w:t>
      </w:r>
    </w:p>
    <w:p w:rsidR="00A66FE3" w:rsidRPr="008F486E" w:rsidRDefault="00A66FE3" w:rsidP="008F486E">
      <w:pPr>
        <w:pStyle w:val="Prrafodelista"/>
        <w:spacing w:line="360" w:lineRule="auto"/>
        <w:ind w:left="1080"/>
        <w:rPr>
          <w:rFonts w:ascii="Arial" w:hAnsi="Arial" w:cs="Arial"/>
          <w:b/>
          <w:sz w:val="24"/>
          <w:szCs w:val="24"/>
        </w:rPr>
      </w:pPr>
    </w:p>
    <w:p w:rsidR="00F416F1" w:rsidRPr="008F486E" w:rsidRDefault="00EB53F1" w:rsidP="008F486E">
      <w:pPr>
        <w:spacing w:line="360" w:lineRule="auto"/>
        <w:jc w:val="both"/>
        <w:rPr>
          <w:rFonts w:ascii="Arial" w:hAnsi="Arial" w:cs="Arial"/>
          <w:sz w:val="24"/>
          <w:szCs w:val="24"/>
        </w:rPr>
      </w:pPr>
      <w:r w:rsidRPr="008F486E">
        <w:rPr>
          <w:rFonts w:ascii="Arial" w:hAnsi="Arial" w:cs="Arial"/>
          <w:b/>
          <w:i/>
          <w:sz w:val="24"/>
          <w:szCs w:val="24"/>
        </w:rPr>
        <w:t>PRIMERA</w:t>
      </w:r>
      <w:r w:rsidRPr="008F486E">
        <w:rPr>
          <w:rFonts w:ascii="Arial" w:hAnsi="Arial" w:cs="Arial"/>
          <w:sz w:val="24"/>
          <w:szCs w:val="24"/>
        </w:rPr>
        <w:t xml:space="preserve">. </w:t>
      </w:r>
      <w:r w:rsidR="00B3755A" w:rsidRPr="008F486E">
        <w:rPr>
          <w:rFonts w:ascii="Arial" w:hAnsi="Arial" w:cs="Arial"/>
          <w:sz w:val="24"/>
          <w:szCs w:val="24"/>
        </w:rPr>
        <w:t>La tecnología conseguida a través de la investigación desarrollada para aplicaciones espaciales repercute directamente en beneficio de toda la humanidad, tanto en sus v</w:t>
      </w:r>
      <w:r w:rsidR="00680C06" w:rsidRPr="008F486E">
        <w:rPr>
          <w:rFonts w:ascii="Arial" w:hAnsi="Arial" w:cs="Arial"/>
          <w:sz w:val="24"/>
          <w:szCs w:val="24"/>
        </w:rPr>
        <w:t>ertientes económica, jurídica, tecnológica</w:t>
      </w:r>
      <w:r w:rsidR="00B3755A" w:rsidRPr="008F486E">
        <w:rPr>
          <w:rFonts w:ascii="Arial" w:hAnsi="Arial" w:cs="Arial"/>
          <w:sz w:val="24"/>
          <w:szCs w:val="24"/>
        </w:rPr>
        <w:t>, social como cultural. Por tanto, la tecnología espacial es un factor clave de la globalización.</w:t>
      </w:r>
    </w:p>
    <w:p w:rsidR="00F416F1" w:rsidRPr="008F486E" w:rsidRDefault="00EB53F1" w:rsidP="008F486E">
      <w:pPr>
        <w:spacing w:line="360" w:lineRule="auto"/>
        <w:jc w:val="both"/>
        <w:rPr>
          <w:rFonts w:ascii="Arial" w:hAnsi="Arial" w:cs="Arial"/>
          <w:sz w:val="24"/>
          <w:szCs w:val="24"/>
        </w:rPr>
      </w:pPr>
      <w:r w:rsidRPr="008F486E">
        <w:rPr>
          <w:rFonts w:ascii="Arial" w:hAnsi="Arial" w:cs="Arial"/>
          <w:b/>
          <w:i/>
          <w:sz w:val="24"/>
          <w:szCs w:val="24"/>
        </w:rPr>
        <w:t>SEGUNDA</w:t>
      </w:r>
      <w:r w:rsidRPr="008F486E">
        <w:rPr>
          <w:rFonts w:ascii="Arial" w:hAnsi="Arial" w:cs="Arial"/>
          <w:sz w:val="24"/>
          <w:szCs w:val="24"/>
        </w:rPr>
        <w:t xml:space="preserve">. </w:t>
      </w:r>
      <w:r w:rsidR="00E02DB3" w:rsidRPr="008F486E">
        <w:rPr>
          <w:rFonts w:ascii="Arial" w:hAnsi="Arial" w:cs="Arial"/>
          <w:sz w:val="24"/>
          <w:szCs w:val="24"/>
        </w:rPr>
        <w:t>La</w:t>
      </w:r>
      <w:r w:rsidR="00B3755A" w:rsidRPr="008F486E">
        <w:rPr>
          <w:rFonts w:ascii="Arial" w:hAnsi="Arial" w:cs="Arial"/>
          <w:sz w:val="24"/>
          <w:szCs w:val="24"/>
        </w:rPr>
        <w:t xml:space="preserve"> tecnología espacial</w:t>
      </w:r>
      <w:r w:rsidR="00E02DB3" w:rsidRPr="008F486E">
        <w:rPr>
          <w:rFonts w:ascii="Arial" w:hAnsi="Arial" w:cs="Arial"/>
          <w:sz w:val="24"/>
          <w:szCs w:val="24"/>
        </w:rPr>
        <w:t xml:space="preserve"> es esencial para llevar a cabo</w:t>
      </w:r>
      <w:r w:rsidR="006B7E21" w:rsidRPr="008F486E">
        <w:rPr>
          <w:rFonts w:ascii="Arial" w:hAnsi="Arial" w:cs="Arial"/>
          <w:sz w:val="24"/>
          <w:szCs w:val="24"/>
        </w:rPr>
        <w:t xml:space="preserve"> </w:t>
      </w:r>
      <w:r w:rsidR="00B3755A" w:rsidRPr="008F486E">
        <w:rPr>
          <w:rFonts w:ascii="Arial" w:hAnsi="Arial" w:cs="Arial"/>
          <w:sz w:val="24"/>
          <w:szCs w:val="24"/>
        </w:rPr>
        <w:t>actividades de exploración y utilización del espacio ultraterrestre, la Luna y otros cuerpos celestes</w:t>
      </w:r>
      <w:r w:rsidR="00E02DB3" w:rsidRPr="008F486E">
        <w:rPr>
          <w:rFonts w:ascii="Arial" w:hAnsi="Arial" w:cs="Arial"/>
          <w:sz w:val="24"/>
          <w:szCs w:val="24"/>
        </w:rPr>
        <w:t xml:space="preserve">, debiendo </w:t>
      </w:r>
      <w:r w:rsidR="00B3755A" w:rsidRPr="008F486E">
        <w:rPr>
          <w:rFonts w:ascii="Arial" w:hAnsi="Arial" w:cs="Arial"/>
          <w:sz w:val="24"/>
          <w:szCs w:val="24"/>
        </w:rPr>
        <w:t xml:space="preserve">desarrollarse </w:t>
      </w:r>
      <w:r w:rsidR="00845640" w:rsidRPr="008F486E">
        <w:rPr>
          <w:rFonts w:ascii="Arial" w:hAnsi="Arial" w:cs="Arial"/>
          <w:sz w:val="24"/>
          <w:szCs w:val="24"/>
        </w:rPr>
        <w:t xml:space="preserve">éstas </w:t>
      </w:r>
      <w:r w:rsidR="00B3755A" w:rsidRPr="008F486E">
        <w:rPr>
          <w:rFonts w:ascii="Arial" w:hAnsi="Arial" w:cs="Arial"/>
          <w:sz w:val="24"/>
          <w:szCs w:val="24"/>
        </w:rPr>
        <w:t>con fines pacíficos y de conformid</w:t>
      </w:r>
      <w:r w:rsidR="00680C06" w:rsidRPr="008F486E">
        <w:rPr>
          <w:rFonts w:ascii="Arial" w:hAnsi="Arial" w:cs="Arial"/>
          <w:sz w:val="24"/>
          <w:szCs w:val="24"/>
        </w:rPr>
        <w:t>ad con el derecho internacional, en especial, la Carta de las Naciones Unidas y el Tratado del Espacio.</w:t>
      </w:r>
    </w:p>
    <w:p w:rsidR="00F416F1" w:rsidRPr="008F486E" w:rsidRDefault="00EB53F1" w:rsidP="008F486E">
      <w:pPr>
        <w:spacing w:line="360" w:lineRule="auto"/>
        <w:jc w:val="both"/>
        <w:rPr>
          <w:rFonts w:ascii="Arial" w:hAnsi="Arial" w:cs="Arial"/>
          <w:sz w:val="24"/>
          <w:szCs w:val="24"/>
        </w:rPr>
      </w:pPr>
      <w:r w:rsidRPr="008F486E">
        <w:rPr>
          <w:rFonts w:ascii="Arial" w:hAnsi="Arial" w:cs="Arial"/>
          <w:b/>
          <w:i/>
          <w:sz w:val="24"/>
          <w:szCs w:val="24"/>
        </w:rPr>
        <w:t>TERCERA</w:t>
      </w:r>
      <w:r w:rsidRPr="008F486E">
        <w:rPr>
          <w:rFonts w:ascii="Arial" w:hAnsi="Arial" w:cs="Arial"/>
          <w:sz w:val="24"/>
          <w:szCs w:val="24"/>
        </w:rPr>
        <w:t xml:space="preserve">. </w:t>
      </w:r>
      <w:r w:rsidR="00680C06" w:rsidRPr="008F486E">
        <w:rPr>
          <w:rFonts w:ascii="Arial" w:hAnsi="Arial" w:cs="Arial"/>
          <w:sz w:val="24"/>
          <w:szCs w:val="24"/>
        </w:rPr>
        <w:t>El Tratado del E</w:t>
      </w:r>
      <w:r w:rsidR="00B3755A" w:rsidRPr="008F486E">
        <w:rPr>
          <w:rFonts w:ascii="Arial" w:hAnsi="Arial" w:cs="Arial"/>
          <w:sz w:val="24"/>
          <w:szCs w:val="24"/>
        </w:rPr>
        <w:t>spacio de 1967</w:t>
      </w:r>
      <w:r w:rsidR="00256E78" w:rsidRPr="008F486E">
        <w:rPr>
          <w:rFonts w:ascii="Arial" w:hAnsi="Arial" w:cs="Arial"/>
          <w:sz w:val="24"/>
          <w:szCs w:val="24"/>
        </w:rPr>
        <w:t xml:space="preserve"> recoge principios fundamentales que han d</w:t>
      </w:r>
      <w:r w:rsidR="00C03210" w:rsidRPr="008F486E">
        <w:rPr>
          <w:rFonts w:ascii="Arial" w:hAnsi="Arial" w:cs="Arial"/>
          <w:sz w:val="24"/>
          <w:szCs w:val="24"/>
        </w:rPr>
        <w:t>e regir las actividades de los E</w:t>
      </w:r>
      <w:r w:rsidR="00256E78" w:rsidRPr="008F486E">
        <w:rPr>
          <w:rFonts w:ascii="Arial" w:hAnsi="Arial" w:cs="Arial"/>
          <w:sz w:val="24"/>
          <w:szCs w:val="24"/>
        </w:rPr>
        <w:t xml:space="preserve">stados en el espacio exterior, estos principios vendrán desarrollados por el </w:t>
      </w:r>
      <w:r w:rsidR="00F95D29" w:rsidRPr="008F486E">
        <w:rPr>
          <w:rFonts w:ascii="Arial" w:hAnsi="Arial" w:cs="Arial"/>
          <w:sz w:val="24"/>
          <w:szCs w:val="24"/>
        </w:rPr>
        <w:t>resto de c</w:t>
      </w:r>
      <w:r w:rsidR="00680C06" w:rsidRPr="008F486E">
        <w:rPr>
          <w:rFonts w:ascii="Arial" w:hAnsi="Arial" w:cs="Arial"/>
          <w:sz w:val="24"/>
          <w:szCs w:val="24"/>
        </w:rPr>
        <w:t>onvenios espaciales y por</w:t>
      </w:r>
      <w:r w:rsidR="008E4B4E" w:rsidRPr="008F486E">
        <w:rPr>
          <w:rFonts w:ascii="Arial" w:hAnsi="Arial" w:cs="Arial"/>
          <w:sz w:val="24"/>
          <w:szCs w:val="24"/>
        </w:rPr>
        <w:t xml:space="preserve"> las declaraciones,</w:t>
      </w:r>
      <w:r w:rsidR="00256E78" w:rsidRPr="008F486E">
        <w:rPr>
          <w:rFonts w:ascii="Arial" w:hAnsi="Arial" w:cs="Arial"/>
          <w:sz w:val="24"/>
          <w:szCs w:val="24"/>
        </w:rPr>
        <w:t xml:space="preserve"> principios y resoluciones ap</w:t>
      </w:r>
      <w:r w:rsidR="001A5A67" w:rsidRPr="008F486E">
        <w:rPr>
          <w:rFonts w:ascii="Arial" w:hAnsi="Arial" w:cs="Arial"/>
          <w:sz w:val="24"/>
          <w:szCs w:val="24"/>
        </w:rPr>
        <w:t xml:space="preserve">robados por </w:t>
      </w:r>
      <w:r w:rsidR="00256E78" w:rsidRPr="008F486E">
        <w:rPr>
          <w:rFonts w:ascii="Arial" w:hAnsi="Arial" w:cs="Arial"/>
          <w:sz w:val="24"/>
          <w:szCs w:val="24"/>
        </w:rPr>
        <w:t>la Asamblea General de las Naciones Unidas.</w:t>
      </w:r>
      <w:r w:rsidR="001F0C83" w:rsidRPr="008F486E">
        <w:rPr>
          <w:rFonts w:ascii="Arial" w:hAnsi="Arial" w:cs="Arial"/>
          <w:sz w:val="24"/>
          <w:szCs w:val="24"/>
        </w:rPr>
        <w:t xml:space="preserve"> </w:t>
      </w:r>
      <w:r w:rsidR="00256E78" w:rsidRPr="008F486E">
        <w:rPr>
          <w:rFonts w:ascii="Arial" w:hAnsi="Arial" w:cs="Arial"/>
          <w:sz w:val="24"/>
          <w:szCs w:val="24"/>
        </w:rPr>
        <w:t>A su vez, los Estados conciertan acuerdos de naturaleza multilateral o bilateral en materia de cooperación espacial. El último eslabó</w:t>
      </w:r>
      <w:r w:rsidR="008E4B4E" w:rsidRPr="008F486E">
        <w:rPr>
          <w:rFonts w:ascii="Arial" w:hAnsi="Arial" w:cs="Arial"/>
          <w:sz w:val="24"/>
          <w:szCs w:val="24"/>
        </w:rPr>
        <w:t>n es el desarrollo de legislacio</w:t>
      </w:r>
      <w:r w:rsidR="00256E78" w:rsidRPr="008F486E">
        <w:rPr>
          <w:rFonts w:ascii="Arial" w:hAnsi="Arial" w:cs="Arial"/>
          <w:sz w:val="24"/>
          <w:szCs w:val="24"/>
        </w:rPr>
        <w:t>n</w:t>
      </w:r>
      <w:r w:rsidR="008E4B4E" w:rsidRPr="008F486E">
        <w:rPr>
          <w:rFonts w:ascii="Arial" w:hAnsi="Arial" w:cs="Arial"/>
          <w:sz w:val="24"/>
          <w:szCs w:val="24"/>
        </w:rPr>
        <w:t>es</w:t>
      </w:r>
      <w:r w:rsidR="00256E78" w:rsidRPr="008F486E">
        <w:rPr>
          <w:rFonts w:ascii="Arial" w:hAnsi="Arial" w:cs="Arial"/>
          <w:sz w:val="24"/>
          <w:szCs w:val="24"/>
        </w:rPr>
        <w:t xml:space="preserve"> nacio</w:t>
      </w:r>
      <w:r w:rsidR="008E4B4E" w:rsidRPr="008F486E">
        <w:rPr>
          <w:rFonts w:ascii="Arial" w:hAnsi="Arial" w:cs="Arial"/>
          <w:sz w:val="24"/>
          <w:szCs w:val="24"/>
        </w:rPr>
        <w:t>nales espaciales</w:t>
      </w:r>
      <w:r w:rsidR="00256E78" w:rsidRPr="008F486E">
        <w:rPr>
          <w:rFonts w:ascii="Arial" w:hAnsi="Arial" w:cs="Arial"/>
          <w:sz w:val="24"/>
          <w:szCs w:val="24"/>
        </w:rPr>
        <w:t>.</w:t>
      </w:r>
      <w:r w:rsidR="001F0C83" w:rsidRPr="008F486E">
        <w:rPr>
          <w:rFonts w:ascii="Arial" w:hAnsi="Arial" w:cs="Arial"/>
          <w:sz w:val="24"/>
          <w:szCs w:val="24"/>
        </w:rPr>
        <w:t xml:space="preserve"> </w:t>
      </w:r>
      <w:r w:rsidR="00256E78" w:rsidRPr="008F486E">
        <w:rPr>
          <w:rFonts w:ascii="Arial" w:hAnsi="Arial" w:cs="Arial"/>
          <w:sz w:val="24"/>
          <w:szCs w:val="24"/>
        </w:rPr>
        <w:t>En este sentido, el proceso de globalización suel</w:t>
      </w:r>
      <w:r w:rsidR="00D31916" w:rsidRPr="008F486E">
        <w:rPr>
          <w:rFonts w:ascii="Arial" w:hAnsi="Arial" w:cs="Arial"/>
          <w:sz w:val="24"/>
          <w:szCs w:val="24"/>
        </w:rPr>
        <w:t>e darse partiendo de un ámbito i</w:t>
      </w:r>
      <w:r w:rsidR="00256E78" w:rsidRPr="008F486E">
        <w:rPr>
          <w:rFonts w:ascii="Arial" w:hAnsi="Arial" w:cs="Arial"/>
          <w:sz w:val="24"/>
          <w:szCs w:val="24"/>
        </w:rPr>
        <w:t>nternacional, como las Naciones Unidas, pasando por un ámbito regional (como la Un</w:t>
      </w:r>
      <w:r w:rsidR="00D31916" w:rsidRPr="008F486E">
        <w:rPr>
          <w:rFonts w:ascii="Arial" w:hAnsi="Arial" w:cs="Arial"/>
          <w:sz w:val="24"/>
          <w:szCs w:val="24"/>
        </w:rPr>
        <w:t>ión Europea y Agencia Espacial E</w:t>
      </w:r>
      <w:r w:rsidR="00256E78" w:rsidRPr="008F486E">
        <w:rPr>
          <w:rFonts w:ascii="Arial" w:hAnsi="Arial" w:cs="Arial"/>
          <w:sz w:val="24"/>
          <w:szCs w:val="24"/>
        </w:rPr>
        <w:t>uropea) y culminando en el ámbito nacional de cada Estado.</w:t>
      </w:r>
      <w:r w:rsidR="00D31916" w:rsidRPr="008F486E">
        <w:rPr>
          <w:rFonts w:ascii="Arial" w:hAnsi="Arial" w:cs="Arial"/>
          <w:sz w:val="24"/>
          <w:szCs w:val="24"/>
        </w:rPr>
        <w:t xml:space="preserve"> Por tanto, se sugiere que los Estados, que aún no lo hayan </w:t>
      </w:r>
      <w:r w:rsidR="00D31916" w:rsidRPr="008F486E">
        <w:rPr>
          <w:rFonts w:ascii="Arial" w:hAnsi="Arial" w:cs="Arial"/>
          <w:sz w:val="24"/>
          <w:szCs w:val="24"/>
        </w:rPr>
        <w:lastRenderedPageBreak/>
        <w:t>hecho, se adhieran al Tratado del Espacio de 1967, al Convenio sobre el Salvamento de 1968, al Convenio sobre la Responsabilidad de 1972, al Convenio sobre el Registro de 1975 y que desarrollen su propia legislación nacional en materia espacial, recomendando que adopten una ley que rija las actividades espaciales y el establecimiento de un Registro Nacional de objetos lan</w:t>
      </w:r>
      <w:r w:rsidR="006506DA" w:rsidRPr="008F486E">
        <w:rPr>
          <w:rFonts w:ascii="Arial" w:hAnsi="Arial" w:cs="Arial"/>
          <w:sz w:val="24"/>
          <w:szCs w:val="24"/>
        </w:rPr>
        <w:t>zados al espacio ultraterrestre,</w:t>
      </w:r>
      <w:r w:rsidR="00110CAE" w:rsidRPr="008F486E">
        <w:rPr>
          <w:rFonts w:ascii="Arial" w:hAnsi="Arial" w:cs="Arial"/>
          <w:sz w:val="24"/>
          <w:szCs w:val="24"/>
        </w:rPr>
        <w:t xml:space="preserve"> </w:t>
      </w:r>
      <w:r w:rsidR="006506DA" w:rsidRPr="008F486E">
        <w:rPr>
          <w:rFonts w:ascii="Arial" w:hAnsi="Arial" w:cs="Arial"/>
          <w:sz w:val="24"/>
          <w:szCs w:val="24"/>
        </w:rPr>
        <w:t>debiendo</w:t>
      </w:r>
      <w:r w:rsidR="00110CAE" w:rsidRPr="008F486E">
        <w:rPr>
          <w:rFonts w:ascii="Arial" w:hAnsi="Arial" w:cs="Arial"/>
          <w:sz w:val="24"/>
          <w:szCs w:val="24"/>
        </w:rPr>
        <w:t xml:space="preserve"> mejorarse la prá</w:t>
      </w:r>
      <w:r w:rsidR="00845640" w:rsidRPr="008F486E">
        <w:rPr>
          <w:rFonts w:ascii="Arial" w:hAnsi="Arial" w:cs="Arial"/>
          <w:sz w:val="24"/>
          <w:szCs w:val="24"/>
        </w:rPr>
        <w:t>ctica del registro como medio para</w:t>
      </w:r>
      <w:r w:rsidR="00110CAE" w:rsidRPr="008F486E">
        <w:rPr>
          <w:rFonts w:ascii="Arial" w:hAnsi="Arial" w:cs="Arial"/>
          <w:sz w:val="24"/>
          <w:szCs w:val="24"/>
        </w:rPr>
        <w:t xml:space="preserve"> garantizar la seguridad de las operaciones espaciales de todos los Estados.</w:t>
      </w:r>
    </w:p>
    <w:p w:rsidR="00280885" w:rsidRPr="008F486E" w:rsidRDefault="00EB53F1" w:rsidP="008F486E">
      <w:pPr>
        <w:spacing w:line="360" w:lineRule="auto"/>
        <w:jc w:val="both"/>
        <w:rPr>
          <w:rFonts w:ascii="Arial" w:hAnsi="Arial" w:cs="Arial"/>
          <w:sz w:val="24"/>
          <w:szCs w:val="24"/>
        </w:rPr>
      </w:pPr>
      <w:r w:rsidRPr="008F486E">
        <w:rPr>
          <w:rFonts w:ascii="Arial" w:hAnsi="Arial" w:cs="Arial"/>
          <w:b/>
          <w:i/>
          <w:sz w:val="24"/>
          <w:szCs w:val="24"/>
        </w:rPr>
        <w:t>CUARTA</w:t>
      </w:r>
      <w:r w:rsidRPr="008F486E">
        <w:rPr>
          <w:rFonts w:ascii="Arial" w:hAnsi="Arial" w:cs="Arial"/>
          <w:sz w:val="24"/>
          <w:szCs w:val="24"/>
        </w:rPr>
        <w:t xml:space="preserve">. </w:t>
      </w:r>
      <w:r w:rsidR="00256E78" w:rsidRPr="008F486E">
        <w:rPr>
          <w:rFonts w:ascii="Arial" w:hAnsi="Arial" w:cs="Arial"/>
          <w:sz w:val="24"/>
          <w:szCs w:val="24"/>
        </w:rPr>
        <w:t xml:space="preserve">A través </w:t>
      </w:r>
      <w:r w:rsidR="001F0C83" w:rsidRPr="008F486E">
        <w:rPr>
          <w:rFonts w:ascii="Arial" w:hAnsi="Arial" w:cs="Arial"/>
          <w:sz w:val="24"/>
          <w:szCs w:val="24"/>
        </w:rPr>
        <w:t>de</w:t>
      </w:r>
      <w:r w:rsidR="00DA0E46" w:rsidRPr="008F486E">
        <w:rPr>
          <w:rFonts w:ascii="Arial" w:hAnsi="Arial" w:cs="Arial"/>
          <w:sz w:val="24"/>
          <w:szCs w:val="24"/>
        </w:rPr>
        <w:t xml:space="preserve"> los</w:t>
      </w:r>
      <w:r w:rsidR="005E7C74" w:rsidRPr="008F486E">
        <w:rPr>
          <w:rFonts w:ascii="Arial" w:hAnsi="Arial" w:cs="Arial"/>
          <w:sz w:val="24"/>
          <w:szCs w:val="24"/>
        </w:rPr>
        <w:t xml:space="preserve"> convenios, acuerdos, leyes, declaraciones, códigos de c</w:t>
      </w:r>
      <w:r w:rsidR="00256E78" w:rsidRPr="008F486E">
        <w:rPr>
          <w:rFonts w:ascii="Arial" w:hAnsi="Arial" w:cs="Arial"/>
          <w:sz w:val="24"/>
          <w:szCs w:val="24"/>
        </w:rPr>
        <w:t>ond</w:t>
      </w:r>
      <w:r w:rsidR="005E7C74" w:rsidRPr="008F486E">
        <w:rPr>
          <w:rFonts w:ascii="Arial" w:hAnsi="Arial" w:cs="Arial"/>
          <w:sz w:val="24"/>
          <w:szCs w:val="24"/>
        </w:rPr>
        <w:t>ucta, directrices, comisiones, grupos de expertos y f</w:t>
      </w:r>
      <w:r w:rsidR="003F475C" w:rsidRPr="008F486E">
        <w:rPr>
          <w:rFonts w:ascii="Arial" w:hAnsi="Arial" w:cs="Arial"/>
          <w:sz w:val="24"/>
          <w:szCs w:val="24"/>
        </w:rPr>
        <w:t>oros</w:t>
      </w:r>
      <w:r w:rsidR="00DA0E46" w:rsidRPr="008F486E">
        <w:rPr>
          <w:rFonts w:ascii="Arial" w:hAnsi="Arial" w:cs="Arial"/>
          <w:sz w:val="24"/>
          <w:szCs w:val="24"/>
        </w:rPr>
        <w:t>, existentes y futuros,</w:t>
      </w:r>
      <w:r w:rsidR="003F475C" w:rsidRPr="008F486E">
        <w:rPr>
          <w:rFonts w:ascii="Arial" w:hAnsi="Arial" w:cs="Arial"/>
          <w:sz w:val="24"/>
          <w:szCs w:val="24"/>
        </w:rPr>
        <w:t xml:space="preserve"> debe seguir fomentándose</w:t>
      </w:r>
      <w:r w:rsidR="00256E78" w:rsidRPr="008F486E">
        <w:rPr>
          <w:rFonts w:ascii="Arial" w:hAnsi="Arial" w:cs="Arial"/>
          <w:sz w:val="24"/>
          <w:szCs w:val="24"/>
        </w:rPr>
        <w:t xml:space="preserve"> una sociedad global que compa</w:t>
      </w:r>
      <w:r w:rsidR="000F6D26" w:rsidRPr="008F486E">
        <w:rPr>
          <w:rFonts w:ascii="Arial" w:hAnsi="Arial" w:cs="Arial"/>
          <w:sz w:val="24"/>
          <w:szCs w:val="24"/>
        </w:rPr>
        <w:t>rta</w:t>
      </w:r>
      <w:r w:rsidR="00256E78" w:rsidRPr="008F486E">
        <w:rPr>
          <w:rFonts w:ascii="Arial" w:hAnsi="Arial" w:cs="Arial"/>
          <w:sz w:val="24"/>
          <w:szCs w:val="24"/>
        </w:rPr>
        <w:t xml:space="preserve"> los mismos intereses</w:t>
      </w:r>
      <w:r w:rsidR="000F6D26" w:rsidRPr="008F486E">
        <w:rPr>
          <w:rFonts w:ascii="Arial" w:hAnsi="Arial" w:cs="Arial"/>
          <w:sz w:val="24"/>
          <w:szCs w:val="24"/>
        </w:rPr>
        <w:t xml:space="preserve"> en benef</w:t>
      </w:r>
      <w:r w:rsidR="00F416F1" w:rsidRPr="008F486E">
        <w:rPr>
          <w:rFonts w:ascii="Arial" w:hAnsi="Arial" w:cs="Arial"/>
          <w:sz w:val="24"/>
          <w:szCs w:val="24"/>
        </w:rPr>
        <w:t xml:space="preserve">icio de todos como la </w:t>
      </w:r>
      <w:r w:rsidR="000F6D26" w:rsidRPr="008F486E">
        <w:rPr>
          <w:rFonts w:ascii="Arial" w:hAnsi="Arial" w:cs="Arial"/>
          <w:sz w:val="24"/>
          <w:szCs w:val="24"/>
        </w:rPr>
        <w:t>integración en las infraestructuras nacionales, especialmente en los países en desarrollo, de las comunicaciones por satélite, los sistemas de observación de la Tier</w:t>
      </w:r>
      <w:r w:rsidR="00023844" w:rsidRPr="008F486E">
        <w:rPr>
          <w:rFonts w:ascii="Arial" w:hAnsi="Arial" w:cs="Arial"/>
          <w:sz w:val="24"/>
          <w:szCs w:val="24"/>
        </w:rPr>
        <w:t>r</w:t>
      </w:r>
      <w:r w:rsidR="00F416F1" w:rsidRPr="008F486E">
        <w:rPr>
          <w:rFonts w:ascii="Arial" w:hAnsi="Arial" w:cs="Arial"/>
          <w:sz w:val="24"/>
          <w:szCs w:val="24"/>
        </w:rPr>
        <w:t>a y la navegación por satélite. En este sentido resulta imprescindible</w:t>
      </w:r>
      <w:r w:rsidR="000F6D26" w:rsidRPr="008F486E">
        <w:rPr>
          <w:rFonts w:ascii="Arial" w:hAnsi="Arial" w:cs="Arial"/>
          <w:sz w:val="24"/>
          <w:szCs w:val="24"/>
        </w:rPr>
        <w:t xml:space="preserve"> la coordinación y cooperación en todo el mundo en materia de gestión de desas</w:t>
      </w:r>
      <w:r w:rsidR="00F416F1" w:rsidRPr="008F486E">
        <w:rPr>
          <w:rFonts w:ascii="Arial" w:hAnsi="Arial" w:cs="Arial"/>
          <w:sz w:val="24"/>
          <w:szCs w:val="24"/>
        </w:rPr>
        <w:t>tres y respuestas de emergencia así como la gestión centralizada de la información geoespacial y geográfica, sin olvidarnos de aplicaciones tan necesarias como</w:t>
      </w:r>
      <w:r w:rsidR="000F6D26" w:rsidRPr="008F486E">
        <w:rPr>
          <w:rFonts w:ascii="Arial" w:hAnsi="Arial" w:cs="Arial"/>
          <w:sz w:val="24"/>
          <w:szCs w:val="24"/>
        </w:rPr>
        <w:t xml:space="preserve"> la </w:t>
      </w:r>
      <w:proofErr w:type="spellStart"/>
      <w:r w:rsidR="000F6D26" w:rsidRPr="008F486E">
        <w:rPr>
          <w:rFonts w:ascii="Arial" w:hAnsi="Arial" w:cs="Arial"/>
          <w:sz w:val="24"/>
          <w:szCs w:val="24"/>
        </w:rPr>
        <w:t>teleepidemiología</w:t>
      </w:r>
      <w:proofErr w:type="spellEnd"/>
      <w:r w:rsidR="000F6D26" w:rsidRPr="008F486E">
        <w:rPr>
          <w:rFonts w:ascii="Arial" w:hAnsi="Arial" w:cs="Arial"/>
          <w:sz w:val="24"/>
          <w:szCs w:val="24"/>
        </w:rPr>
        <w:t>,</w:t>
      </w:r>
      <w:r w:rsidR="00F416F1" w:rsidRPr="008F486E">
        <w:rPr>
          <w:rFonts w:ascii="Arial" w:hAnsi="Arial" w:cs="Arial"/>
          <w:sz w:val="24"/>
          <w:szCs w:val="24"/>
        </w:rPr>
        <w:t xml:space="preserve"> la </w:t>
      </w:r>
      <w:proofErr w:type="spellStart"/>
      <w:r w:rsidR="000F6D26" w:rsidRPr="008F486E">
        <w:rPr>
          <w:rFonts w:ascii="Arial" w:hAnsi="Arial" w:cs="Arial"/>
          <w:sz w:val="24"/>
          <w:szCs w:val="24"/>
        </w:rPr>
        <w:t>telesalud</w:t>
      </w:r>
      <w:proofErr w:type="spellEnd"/>
      <w:r w:rsidR="000F6D26" w:rsidRPr="008F486E">
        <w:rPr>
          <w:rFonts w:ascii="Arial" w:hAnsi="Arial" w:cs="Arial"/>
          <w:sz w:val="24"/>
          <w:szCs w:val="24"/>
        </w:rPr>
        <w:t xml:space="preserve"> y</w:t>
      </w:r>
      <w:r w:rsidR="00F416F1" w:rsidRPr="008F486E">
        <w:rPr>
          <w:rFonts w:ascii="Arial" w:hAnsi="Arial" w:cs="Arial"/>
          <w:sz w:val="24"/>
          <w:szCs w:val="24"/>
        </w:rPr>
        <w:t xml:space="preserve"> la</w:t>
      </w:r>
      <w:r w:rsidR="000F6D26" w:rsidRPr="008F486E">
        <w:rPr>
          <w:rFonts w:ascii="Arial" w:hAnsi="Arial" w:cs="Arial"/>
          <w:sz w:val="24"/>
          <w:szCs w:val="24"/>
        </w:rPr>
        <w:t xml:space="preserve"> telemedicina,</w:t>
      </w:r>
      <w:r w:rsidR="00F416F1" w:rsidRPr="008F486E">
        <w:rPr>
          <w:rFonts w:ascii="Arial" w:hAnsi="Arial" w:cs="Arial"/>
          <w:sz w:val="24"/>
          <w:szCs w:val="24"/>
        </w:rPr>
        <w:t xml:space="preserve"> todas ellas apoyadas por medidas de transparencia y fomento</w:t>
      </w:r>
      <w:r w:rsidR="00845640" w:rsidRPr="008F486E">
        <w:rPr>
          <w:rFonts w:ascii="Arial" w:hAnsi="Arial" w:cs="Arial"/>
          <w:sz w:val="24"/>
          <w:szCs w:val="24"/>
        </w:rPr>
        <w:t xml:space="preserve"> de la confianza</w:t>
      </w:r>
      <w:r w:rsidR="00F416F1" w:rsidRPr="008F486E">
        <w:rPr>
          <w:rFonts w:ascii="Arial" w:hAnsi="Arial" w:cs="Arial"/>
          <w:sz w:val="24"/>
          <w:szCs w:val="24"/>
        </w:rPr>
        <w:t xml:space="preserve"> de las actividades espaciales y el establecimiento de un Fondo fiduciario.  </w:t>
      </w:r>
    </w:p>
    <w:p w:rsidR="00F416F1"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QUINTA</w:t>
      </w:r>
      <w:r w:rsidRPr="008F486E">
        <w:rPr>
          <w:rFonts w:ascii="Arial" w:hAnsi="Arial" w:cs="Arial"/>
          <w:sz w:val="24"/>
          <w:szCs w:val="24"/>
        </w:rPr>
        <w:t xml:space="preserve">- </w:t>
      </w:r>
      <w:r w:rsidR="00962726" w:rsidRPr="008F486E">
        <w:rPr>
          <w:rFonts w:ascii="Arial" w:hAnsi="Arial" w:cs="Arial"/>
          <w:sz w:val="24"/>
          <w:szCs w:val="24"/>
        </w:rPr>
        <w:t>Los Estados, y las entidades sometidas bajo su supervisión y control, deberán seguir esforzándose para salvaguardar el uso pacífico sostenible y seguro del espacio ultraterrestre frente al peligro que supone la existencia de desechos espaciales que orbitan alrededor de la Tierra, así como la amenaza que plantean los objetos cercanos a la Tierra, asteroides y meteoritos, por su posible impacto con nuestro planeta</w:t>
      </w:r>
      <w:r w:rsidR="000544C6" w:rsidRPr="008F486E">
        <w:rPr>
          <w:rFonts w:ascii="Arial" w:hAnsi="Arial" w:cs="Arial"/>
          <w:sz w:val="24"/>
          <w:szCs w:val="24"/>
        </w:rPr>
        <w:t xml:space="preserve"> </w:t>
      </w:r>
    </w:p>
    <w:p w:rsidR="00E86F98"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SEXTA</w:t>
      </w:r>
      <w:r w:rsidRPr="008F486E">
        <w:rPr>
          <w:rFonts w:ascii="Arial" w:hAnsi="Arial" w:cs="Arial"/>
          <w:sz w:val="24"/>
          <w:szCs w:val="24"/>
        </w:rPr>
        <w:t xml:space="preserve">- </w:t>
      </w:r>
      <w:r w:rsidR="00F416F1" w:rsidRPr="008F486E">
        <w:rPr>
          <w:rFonts w:ascii="Arial" w:hAnsi="Arial" w:cs="Arial"/>
          <w:sz w:val="24"/>
          <w:szCs w:val="24"/>
        </w:rPr>
        <w:t xml:space="preserve"> </w:t>
      </w:r>
      <w:r w:rsidR="00ED5B3E" w:rsidRPr="008F486E">
        <w:rPr>
          <w:rFonts w:ascii="Arial" w:hAnsi="Arial" w:cs="Arial"/>
          <w:sz w:val="24"/>
          <w:szCs w:val="24"/>
        </w:rPr>
        <w:t xml:space="preserve">Del proceso de globalización surgen </w:t>
      </w:r>
      <w:r w:rsidR="00F416F1" w:rsidRPr="008F486E">
        <w:rPr>
          <w:rFonts w:ascii="Arial" w:hAnsi="Arial" w:cs="Arial"/>
          <w:sz w:val="24"/>
          <w:szCs w:val="24"/>
        </w:rPr>
        <w:t>grandes proyectos internacionales de cooperación en el espacio</w:t>
      </w:r>
      <w:r w:rsidR="00ED5B3E" w:rsidRPr="008F486E">
        <w:rPr>
          <w:rFonts w:ascii="Arial" w:hAnsi="Arial" w:cs="Arial"/>
          <w:sz w:val="24"/>
          <w:szCs w:val="24"/>
        </w:rPr>
        <w:t xml:space="preserve"> ultraterrestre</w:t>
      </w:r>
      <w:r w:rsidR="00F416F1" w:rsidRPr="008F486E">
        <w:rPr>
          <w:rFonts w:ascii="Arial" w:hAnsi="Arial" w:cs="Arial"/>
          <w:sz w:val="24"/>
          <w:szCs w:val="24"/>
        </w:rPr>
        <w:t xml:space="preserve"> como la Estación Espacial Internacional y programas y proyectos conjuntos referentes a la exploración de cuerpos celestes, como la Luna y Marte,</w:t>
      </w:r>
      <w:r w:rsidR="00ED5B3E" w:rsidRPr="008F486E">
        <w:rPr>
          <w:rFonts w:ascii="Arial" w:hAnsi="Arial" w:cs="Arial"/>
          <w:sz w:val="24"/>
          <w:szCs w:val="24"/>
        </w:rPr>
        <w:t xml:space="preserve"> donde los Estados regularán conjuntamente las disposiciones aplicables a los acuerdos intergubernamentales que rijan sus actividades. A nivel nacional, debe </w:t>
      </w:r>
      <w:r w:rsidR="00ED5B3E" w:rsidRPr="008F486E">
        <w:rPr>
          <w:rFonts w:ascii="Arial" w:hAnsi="Arial" w:cs="Arial"/>
          <w:sz w:val="24"/>
          <w:szCs w:val="24"/>
        </w:rPr>
        <w:lastRenderedPageBreak/>
        <w:t>prestarse</w:t>
      </w:r>
      <w:r w:rsidR="00F416F1" w:rsidRPr="008F486E">
        <w:rPr>
          <w:rFonts w:ascii="Arial" w:hAnsi="Arial" w:cs="Arial"/>
          <w:sz w:val="24"/>
          <w:szCs w:val="24"/>
        </w:rPr>
        <w:t xml:space="preserve"> particular atención </w:t>
      </w:r>
      <w:r w:rsidR="001D2634" w:rsidRPr="008F486E">
        <w:rPr>
          <w:rFonts w:ascii="Arial" w:hAnsi="Arial" w:cs="Arial"/>
          <w:sz w:val="24"/>
          <w:szCs w:val="24"/>
        </w:rPr>
        <w:t>a las iniciativas y normativas</w:t>
      </w:r>
      <w:r w:rsidR="00F416F1" w:rsidRPr="008F486E">
        <w:rPr>
          <w:rFonts w:ascii="Arial" w:hAnsi="Arial" w:cs="Arial"/>
          <w:sz w:val="24"/>
          <w:szCs w:val="24"/>
        </w:rPr>
        <w:t xml:space="preserve"> recie</w:t>
      </w:r>
      <w:r w:rsidR="00ED5B3E" w:rsidRPr="008F486E">
        <w:rPr>
          <w:rFonts w:ascii="Arial" w:hAnsi="Arial" w:cs="Arial"/>
          <w:sz w:val="24"/>
          <w:szCs w:val="24"/>
        </w:rPr>
        <w:t>ntes sobre la explotación de los</w:t>
      </w:r>
      <w:r w:rsidR="00F416F1" w:rsidRPr="008F486E">
        <w:rPr>
          <w:rFonts w:ascii="Arial" w:hAnsi="Arial" w:cs="Arial"/>
          <w:sz w:val="24"/>
          <w:szCs w:val="24"/>
        </w:rPr>
        <w:t xml:space="preserve"> recursos naturales </w:t>
      </w:r>
      <w:r w:rsidR="00ED5B3E" w:rsidRPr="008F486E">
        <w:rPr>
          <w:rFonts w:ascii="Arial" w:hAnsi="Arial" w:cs="Arial"/>
          <w:sz w:val="24"/>
          <w:szCs w:val="24"/>
        </w:rPr>
        <w:t>de los cuerpos celestes, resultando conveniente la existencia de unas directrices</w:t>
      </w:r>
      <w:r w:rsidR="009209E8" w:rsidRPr="008F486E">
        <w:rPr>
          <w:rFonts w:ascii="Arial" w:hAnsi="Arial" w:cs="Arial"/>
          <w:sz w:val="24"/>
          <w:szCs w:val="24"/>
        </w:rPr>
        <w:t xml:space="preserve"> internacionales que</w:t>
      </w:r>
      <w:r w:rsidR="005E7C74" w:rsidRPr="008F486E">
        <w:rPr>
          <w:rFonts w:ascii="Arial" w:hAnsi="Arial" w:cs="Arial"/>
          <w:sz w:val="24"/>
          <w:szCs w:val="24"/>
        </w:rPr>
        <w:t xml:space="preserve"> incluyan un conjunto de principios que</w:t>
      </w:r>
      <w:r w:rsidR="009209E8" w:rsidRPr="008F486E">
        <w:rPr>
          <w:rFonts w:ascii="Arial" w:hAnsi="Arial" w:cs="Arial"/>
          <w:sz w:val="24"/>
          <w:szCs w:val="24"/>
        </w:rPr>
        <w:t xml:space="preserve"> sirvan de referencia como el principio de no apropiación nacional </w:t>
      </w:r>
      <w:r w:rsidR="005E7C74" w:rsidRPr="008F486E">
        <w:rPr>
          <w:rFonts w:ascii="Arial" w:hAnsi="Arial" w:cs="Arial"/>
          <w:sz w:val="24"/>
          <w:szCs w:val="24"/>
        </w:rPr>
        <w:t>(</w:t>
      </w:r>
      <w:r w:rsidR="009209E8" w:rsidRPr="008F486E">
        <w:rPr>
          <w:rFonts w:ascii="Arial" w:hAnsi="Arial" w:cs="Arial"/>
          <w:sz w:val="24"/>
          <w:szCs w:val="24"/>
        </w:rPr>
        <w:t xml:space="preserve">de la superficie o </w:t>
      </w:r>
      <w:proofErr w:type="spellStart"/>
      <w:r w:rsidR="009209E8" w:rsidRPr="008F486E">
        <w:rPr>
          <w:rFonts w:ascii="Arial" w:hAnsi="Arial" w:cs="Arial"/>
          <w:sz w:val="24"/>
          <w:szCs w:val="24"/>
        </w:rPr>
        <w:t>subsuperficie</w:t>
      </w:r>
      <w:proofErr w:type="spellEnd"/>
      <w:r w:rsidR="009209E8" w:rsidRPr="008F486E">
        <w:rPr>
          <w:rFonts w:ascii="Arial" w:hAnsi="Arial" w:cs="Arial"/>
          <w:sz w:val="24"/>
          <w:szCs w:val="24"/>
        </w:rPr>
        <w:t xml:space="preserve"> de un cuerpo celeste</w:t>
      </w:r>
      <w:r w:rsidR="005E7C74" w:rsidRPr="008F486E">
        <w:rPr>
          <w:rFonts w:ascii="Arial" w:hAnsi="Arial" w:cs="Arial"/>
          <w:sz w:val="24"/>
          <w:szCs w:val="24"/>
        </w:rPr>
        <w:t>)</w:t>
      </w:r>
      <w:r w:rsidR="009209E8" w:rsidRPr="008F486E">
        <w:rPr>
          <w:rFonts w:ascii="Arial" w:hAnsi="Arial" w:cs="Arial"/>
          <w:sz w:val="24"/>
          <w:szCs w:val="24"/>
        </w:rPr>
        <w:t>, la responsabilidad internacional, el acceso y la utilización de los recursos, evitar impactos perjudiciales, asistencia, tener debidamente en cuenta a todos los países y la solución pacífica de las controversias que pudieran originarse.</w:t>
      </w:r>
    </w:p>
    <w:p w:rsidR="008B45CC"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SÉPTIMA</w:t>
      </w:r>
      <w:r w:rsidR="00A66FE3" w:rsidRPr="008F486E">
        <w:rPr>
          <w:rFonts w:ascii="Arial" w:hAnsi="Arial" w:cs="Arial"/>
          <w:sz w:val="24"/>
          <w:szCs w:val="24"/>
        </w:rPr>
        <w:t xml:space="preserve">. </w:t>
      </w:r>
      <w:r w:rsidR="00E27479" w:rsidRPr="008F486E">
        <w:rPr>
          <w:rFonts w:ascii="Arial" w:hAnsi="Arial" w:cs="Arial"/>
          <w:sz w:val="24"/>
          <w:szCs w:val="24"/>
        </w:rPr>
        <w:t>Los E</w:t>
      </w:r>
      <w:r w:rsidR="008A56E5" w:rsidRPr="008F486E">
        <w:rPr>
          <w:rFonts w:ascii="Arial" w:hAnsi="Arial" w:cs="Arial"/>
          <w:sz w:val="24"/>
          <w:szCs w:val="24"/>
        </w:rPr>
        <w:t>stados, organizaciones no gubernamentales y entidades privadas</w:t>
      </w:r>
      <w:r w:rsidR="004C4F42" w:rsidRPr="008F486E">
        <w:rPr>
          <w:rFonts w:ascii="Arial" w:hAnsi="Arial" w:cs="Arial"/>
          <w:sz w:val="24"/>
          <w:szCs w:val="24"/>
        </w:rPr>
        <w:t xml:space="preserve"> involucradas en actividades espaciales</w:t>
      </w:r>
      <w:r w:rsidR="008A56E5" w:rsidRPr="008F486E">
        <w:rPr>
          <w:rFonts w:ascii="Arial" w:hAnsi="Arial" w:cs="Arial"/>
          <w:sz w:val="24"/>
          <w:szCs w:val="24"/>
        </w:rPr>
        <w:t xml:space="preserve"> deberán seguir fomentando el acceso a los datos satelitales, teniendo especialmente en cuenta a los países con dificultades, y en aquellas esferas sensibles a toda la humanidad</w:t>
      </w:r>
      <w:r w:rsidR="00476777" w:rsidRPr="008F486E">
        <w:rPr>
          <w:rFonts w:ascii="Arial" w:hAnsi="Arial" w:cs="Arial"/>
          <w:sz w:val="24"/>
          <w:szCs w:val="24"/>
        </w:rPr>
        <w:t xml:space="preserve">. </w:t>
      </w:r>
      <w:r w:rsidR="00341E9E" w:rsidRPr="008F486E">
        <w:rPr>
          <w:rFonts w:ascii="Arial" w:hAnsi="Arial" w:cs="Arial"/>
          <w:sz w:val="24"/>
          <w:szCs w:val="24"/>
        </w:rPr>
        <w:t>La Unión Europea está trabajando para conseguir una industria espacial competitiva, independiente y global, dotándola de un marco jurídico transparente, equilibrado y coherente en todos los Estados miembros para que el mercado de la Unión desarrolle todo su potencial y competitividad, reduciendo las barreras burocráticas para la industria, facilitando el cumplimiento de los requisitos legales, aportando mejores condiciones para el establecimiento y funcionamiento de las empresas y reduciéndose las pérdidas de negocio derivadas de la ausencia de unas condiciones claras y previsibles para la adquisición de datos.</w:t>
      </w:r>
    </w:p>
    <w:p w:rsidR="008B45CC"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OCTAVA</w:t>
      </w:r>
      <w:r w:rsidRPr="008F486E">
        <w:rPr>
          <w:rFonts w:ascii="Arial" w:hAnsi="Arial" w:cs="Arial"/>
          <w:sz w:val="24"/>
          <w:szCs w:val="24"/>
        </w:rPr>
        <w:t>-</w:t>
      </w:r>
      <w:r w:rsidR="008B45CC" w:rsidRPr="008F486E">
        <w:rPr>
          <w:rFonts w:ascii="Arial" w:hAnsi="Arial" w:cs="Arial"/>
          <w:sz w:val="24"/>
          <w:szCs w:val="24"/>
        </w:rPr>
        <w:t xml:space="preserve"> </w:t>
      </w:r>
      <w:r w:rsidR="00341E9E" w:rsidRPr="008F486E">
        <w:rPr>
          <w:rFonts w:ascii="Arial" w:hAnsi="Arial" w:cs="Arial"/>
          <w:sz w:val="24"/>
          <w:szCs w:val="24"/>
        </w:rPr>
        <w:t>El alcance mundial de los problemas que afectan a la seguridad de las redes y sistemas de información hace necesaria una mayor cooperación internacional para mejorar las normas de seguridad y el intercambio de información a nivel global.  La seguridad de las redes y sistemas de información comprenden la seguridad de los datos conservados, transmitidos y procesados, lo que incluye la gestión del riesgo, es decir,  prevenir, detectar y gestionar posibles incidentes así como mitigar sus repercusiones.</w:t>
      </w:r>
    </w:p>
    <w:p w:rsidR="008B45CC"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NOVENA</w:t>
      </w:r>
      <w:r w:rsidRPr="008F486E">
        <w:rPr>
          <w:rFonts w:ascii="Arial" w:hAnsi="Arial" w:cs="Arial"/>
          <w:sz w:val="24"/>
          <w:szCs w:val="24"/>
        </w:rPr>
        <w:t>-</w:t>
      </w:r>
      <w:r w:rsidR="000A5ED6" w:rsidRPr="008F486E">
        <w:rPr>
          <w:rFonts w:ascii="Arial" w:hAnsi="Arial" w:cs="Arial"/>
          <w:sz w:val="24"/>
          <w:szCs w:val="24"/>
        </w:rPr>
        <w:t xml:space="preserve"> Los Estados son conscientes de las nuevas amenazas “híbridas” debiendo reforzarse la </w:t>
      </w:r>
      <w:proofErr w:type="spellStart"/>
      <w:r w:rsidR="000A5ED6" w:rsidRPr="008F486E">
        <w:rPr>
          <w:rFonts w:ascii="Arial" w:hAnsi="Arial" w:cs="Arial"/>
          <w:sz w:val="24"/>
          <w:szCs w:val="24"/>
        </w:rPr>
        <w:t>ciberseguridad</w:t>
      </w:r>
      <w:proofErr w:type="spellEnd"/>
      <w:r w:rsidR="000A5ED6" w:rsidRPr="008F486E">
        <w:rPr>
          <w:rFonts w:ascii="Arial" w:hAnsi="Arial" w:cs="Arial"/>
          <w:sz w:val="24"/>
          <w:szCs w:val="24"/>
        </w:rPr>
        <w:t xml:space="preserve"> y </w:t>
      </w:r>
      <w:proofErr w:type="spellStart"/>
      <w:r w:rsidR="000A5ED6" w:rsidRPr="008F486E">
        <w:rPr>
          <w:rFonts w:ascii="Arial" w:hAnsi="Arial" w:cs="Arial"/>
          <w:sz w:val="24"/>
          <w:szCs w:val="24"/>
        </w:rPr>
        <w:t>ciberresiliencia</w:t>
      </w:r>
      <w:proofErr w:type="spellEnd"/>
      <w:r w:rsidR="000A5ED6" w:rsidRPr="008F486E">
        <w:rPr>
          <w:rFonts w:ascii="Arial" w:hAnsi="Arial" w:cs="Arial"/>
          <w:sz w:val="24"/>
          <w:szCs w:val="24"/>
        </w:rPr>
        <w:t>, no exclusivamente desde el punto de vista de la defensa de cada nación sino que además necesitan de una respuesta coordinada a nivel de la UE y la OTAN.</w:t>
      </w:r>
      <w:r w:rsidR="00A56397" w:rsidRPr="008F486E">
        <w:rPr>
          <w:rFonts w:ascii="Arial" w:hAnsi="Arial" w:cs="Arial"/>
          <w:sz w:val="24"/>
          <w:szCs w:val="24"/>
        </w:rPr>
        <w:t xml:space="preserve"> Debemos </w:t>
      </w:r>
      <w:r w:rsidR="00A56397" w:rsidRPr="008F486E">
        <w:rPr>
          <w:rFonts w:ascii="Arial" w:hAnsi="Arial" w:cs="Arial"/>
          <w:sz w:val="24"/>
          <w:szCs w:val="24"/>
        </w:rPr>
        <w:lastRenderedPageBreak/>
        <w:t>vincular la globalización al fomento de normas universales y a una acción concertada y ética</w:t>
      </w:r>
    </w:p>
    <w:p w:rsidR="008B45CC" w:rsidRPr="008F486E" w:rsidRDefault="00E86F98" w:rsidP="008F486E">
      <w:pPr>
        <w:spacing w:line="360" w:lineRule="auto"/>
        <w:jc w:val="both"/>
        <w:rPr>
          <w:rFonts w:ascii="Arial" w:hAnsi="Arial" w:cs="Arial"/>
          <w:sz w:val="24"/>
          <w:szCs w:val="24"/>
        </w:rPr>
      </w:pPr>
      <w:r w:rsidRPr="008F486E">
        <w:rPr>
          <w:rFonts w:ascii="Arial" w:hAnsi="Arial" w:cs="Arial"/>
          <w:b/>
          <w:i/>
          <w:sz w:val="24"/>
          <w:szCs w:val="24"/>
        </w:rPr>
        <w:t>DÉCIMA</w:t>
      </w:r>
      <w:r w:rsidRPr="008F486E">
        <w:rPr>
          <w:rFonts w:ascii="Arial" w:hAnsi="Arial" w:cs="Arial"/>
          <w:sz w:val="24"/>
          <w:szCs w:val="24"/>
        </w:rPr>
        <w:t>-</w:t>
      </w:r>
      <w:r w:rsidR="009C2CE1" w:rsidRPr="008F486E">
        <w:rPr>
          <w:rFonts w:ascii="Arial" w:hAnsi="Arial" w:cs="Arial"/>
          <w:sz w:val="24"/>
          <w:szCs w:val="24"/>
        </w:rPr>
        <w:t xml:space="preserve"> Los Estados deben seguir esforzándose por conseguir reducir de manera general la proliferación de los sistemas de misiles balísticos capaces de transportar armas de destrucción en masa reconociendo que la adhesión a las normas internacionales de control de armas, desarme y no proliferación  y su pleno cumplimiento, contribuyen a fomentar la confianza en cuanto a las intenciones pacíficas de los Estados y donde  los programas de lanzadores espaciales no deben ocultar programas de misiles balísticos y tecnología conexa</w:t>
      </w:r>
      <w:r w:rsidR="00DA0E46" w:rsidRPr="008F486E">
        <w:rPr>
          <w:rFonts w:ascii="Arial" w:hAnsi="Arial" w:cs="Arial"/>
          <w:sz w:val="24"/>
          <w:szCs w:val="24"/>
        </w:rPr>
        <w:t>, de conformidad con el Código de Conducta de la Haya.</w:t>
      </w:r>
    </w:p>
    <w:p w:rsidR="007570F1" w:rsidRPr="008F486E" w:rsidRDefault="007570F1" w:rsidP="008F486E">
      <w:pPr>
        <w:spacing w:line="360" w:lineRule="auto"/>
        <w:rPr>
          <w:rFonts w:ascii="Arial" w:hAnsi="Arial" w:cs="Arial"/>
          <w:b/>
          <w:sz w:val="24"/>
          <w:szCs w:val="24"/>
        </w:rPr>
      </w:pPr>
    </w:p>
    <w:p w:rsidR="00161E02" w:rsidRPr="008F486E" w:rsidRDefault="007904CA" w:rsidP="008F486E">
      <w:pPr>
        <w:spacing w:line="360" w:lineRule="auto"/>
        <w:jc w:val="center"/>
        <w:rPr>
          <w:rFonts w:ascii="Arial" w:hAnsi="Arial" w:cs="Arial"/>
          <w:b/>
          <w:sz w:val="24"/>
          <w:szCs w:val="24"/>
        </w:rPr>
      </w:pPr>
      <w:r w:rsidRPr="008F486E">
        <w:rPr>
          <w:rFonts w:ascii="Arial" w:hAnsi="Arial" w:cs="Arial"/>
          <w:b/>
          <w:sz w:val="24"/>
          <w:szCs w:val="24"/>
        </w:rPr>
        <w:t>IV. BIBLIOGRAFIA</w:t>
      </w:r>
      <w:r w:rsidR="00824BBF" w:rsidRPr="008F486E">
        <w:rPr>
          <w:rFonts w:ascii="Arial" w:hAnsi="Arial" w:cs="Arial"/>
          <w:b/>
          <w:sz w:val="24"/>
          <w:szCs w:val="24"/>
        </w:rPr>
        <w:t xml:space="preserve"> </w:t>
      </w:r>
    </w:p>
    <w:p w:rsidR="00F15A9D" w:rsidRPr="008F486E" w:rsidRDefault="00F15A9D" w:rsidP="008F486E">
      <w:pPr>
        <w:spacing w:line="360" w:lineRule="auto"/>
        <w:jc w:val="both"/>
        <w:rPr>
          <w:rFonts w:ascii="Arial" w:hAnsi="Arial" w:cs="Arial"/>
          <w:sz w:val="24"/>
          <w:szCs w:val="24"/>
        </w:rPr>
      </w:pPr>
      <w:r w:rsidRPr="008F486E">
        <w:rPr>
          <w:rFonts w:ascii="Arial" w:hAnsi="Arial" w:cs="Arial"/>
          <w:sz w:val="24"/>
          <w:szCs w:val="24"/>
        </w:rPr>
        <w:t>ANDRÉS SÁENZ DE SANTA MARÍA, P.,</w:t>
      </w:r>
      <w:r w:rsidRPr="008F486E">
        <w:rPr>
          <w:rFonts w:ascii="Arial" w:hAnsi="Arial" w:cs="Arial"/>
          <w:i/>
          <w:sz w:val="24"/>
          <w:szCs w:val="24"/>
        </w:rPr>
        <w:t xml:space="preserve"> Legislación básica en derecho internacional público</w:t>
      </w:r>
      <w:r w:rsidRPr="008F486E">
        <w:rPr>
          <w:rFonts w:ascii="Arial" w:hAnsi="Arial" w:cs="Arial"/>
          <w:sz w:val="24"/>
          <w:szCs w:val="24"/>
        </w:rPr>
        <w:t>, décimo tercera edición actualizada, 2013, pp. 608-617.</w:t>
      </w:r>
    </w:p>
    <w:p w:rsidR="00824BBF" w:rsidRPr="008F486E" w:rsidRDefault="006C72A1" w:rsidP="008F486E">
      <w:pPr>
        <w:spacing w:line="360" w:lineRule="auto"/>
        <w:jc w:val="both"/>
        <w:rPr>
          <w:rFonts w:ascii="Arial" w:hAnsi="Arial" w:cs="Arial"/>
          <w:sz w:val="24"/>
          <w:szCs w:val="24"/>
        </w:rPr>
      </w:pPr>
      <w:r w:rsidRPr="008F486E">
        <w:rPr>
          <w:rFonts w:ascii="Arial" w:hAnsi="Arial" w:cs="Arial"/>
          <w:sz w:val="24"/>
          <w:szCs w:val="24"/>
        </w:rPr>
        <w:t xml:space="preserve">ARTEAGA, F., </w:t>
      </w:r>
      <w:r w:rsidRPr="008F486E">
        <w:rPr>
          <w:rFonts w:ascii="Arial" w:hAnsi="Arial" w:cs="Arial"/>
          <w:i/>
          <w:sz w:val="24"/>
          <w:szCs w:val="24"/>
        </w:rPr>
        <w:t>La defensa europea entre la Estrategia Global y su implementación,</w:t>
      </w:r>
      <w:r w:rsidRPr="008F486E">
        <w:rPr>
          <w:rFonts w:ascii="Arial" w:hAnsi="Arial" w:cs="Arial"/>
          <w:sz w:val="24"/>
          <w:szCs w:val="24"/>
        </w:rPr>
        <w:t xml:space="preserve"> Documento de trabajo 16/2016, de 28 de diciembre de 2016, Real Instituto Elcano. </w:t>
      </w:r>
    </w:p>
    <w:p w:rsidR="00C61497" w:rsidRPr="008F486E" w:rsidRDefault="00C61497" w:rsidP="008F486E">
      <w:pPr>
        <w:spacing w:line="360" w:lineRule="auto"/>
        <w:jc w:val="both"/>
        <w:rPr>
          <w:rFonts w:ascii="Arial" w:hAnsi="Arial" w:cs="Arial"/>
          <w:sz w:val="24"/>
          <w:szCs w:val="24"/>
          <w:lang w:val="en-US"/>
        </w:rPr>
      </w:pPr>
      <w:r w:rsidRPr="008F486E">
        <w:rPr>
          <w:rFonts w:ascii="Arial" w:hAnsi="Arial" w:cs="Arial"/>
          <w:sz w:val="24"/>
          <w:szCs w:val="24"/>
          <w:lang w:val="en-US"/>
        </w:rPr>
        <w:t xml:space="preserve">COVERT, L., </w:t>
      </w:r>
      <w:r w:rsidR="004D5786" w:rsidRPr="008F486E">
        <w:rPr>
          <w:rFonts w:ascii="Arial" w:hAnsi="Arial" w:cs="Arial"/>
          <w:sz w:val="24"/>
          <w:szCs w:val="24"/>
          <w:lang w:val="en-US"/>
        </w:rPr>
        <w:t xml:space="preserve">“Progress </w:t>
      </w:r>
      <w:proofErr w:type="gramStart"/>
      <w:r w:rsidR="004D5786" w:rsidRPr="008F486E">
        <w:rPr>
          <w:rFonts w:ascii="Arial" w:hAnsi="Arial" w:cs="Arial"/>
          <w:sz w:val="24"/>
          <w:szCs w:val="24"/>
          <w:lang w:val="en-US"/>
        </w:rPr>
        <w:t>Toward</w:t>
      </w:r>
      <w:proofErr w:type="gramEnd"/>
      <w:r w:rsidR="004D5786" w:rsidRPr="008F486E">
        <w:rPr>
          <w:rFonts w:ascii="Arial" w:hAnsi="Arial" w:cs="Arial"/>
          <w:sz w:val="24"/>
          <w:szCs w:val="24"/>
          <w:lang w:val="en-US"/>
        </w:rPr>
        <w:t xml:space="preserve"> an A</w:t>
      </w:r>
      <w:r w:rsidR="00AD6636" w:rsidRPr="008F486E">
        <w:rPr>
          <w:rFonts w:ascii="Arial" w:hAnsi="Arial" w:cs="Arial"/>
          <w:sz w:val="24"/>
          <w:szCs w:val="24"/>
          <w:lang w:val="en-US"/>
        </w:rPr>
        <w:t xml:space="preserve">steroid Deflection </w:t>
      </w:r>
      <w:r w:rsidR="00F502FB" w:rsidRPr="008F486E">
        <w:rPr>
          <w:rFonts w:ascii="Arial" w:hAnsi="Arial" w:cs="Arial"/>
          <w:sz w:val="24"/>
          <w:szCs w:val="24"/>
          <w:lang w:val="en-US"/>
        </w:rPr>
        <w:t>Treaty·,</w:t>
      </w:r>
      <w:r w:rsidR="004D5786" w:rsidRPr="008F486E">
        <w:rPr>
          <w:rFonts w:ascii="Arial" w:hAnsi="Arial" w:cs="Arial"/>
          <w:sz w:val="24"/>
          <w:szCs w:val="24"/>
          <w:lang w:val="en-US"/>
        </w:rPr>
        <w:t xml:space="preserve"> </w:t>
      </w:r>
      <w:r w:rsidR="004D5786" w:rsidRPr="008F486E">
        <w:rPr>
          <w:rFonts w:ascii="Arial" w:hAnsi="Arial" w:cs="Arial"/>
          <w:i/>
          <w:sz w:val="24"/>
          <w:szCs w:val="24"/>
          <w:lang w:val="en-US"/>
        </w:rPr>
        <w:t>Proceedings 48th CLOS,</w:t>
      </w:r>
      <w:r w:rsidR="004D5786" w:rsidRPr="008F486E">
        <w:rPr>
          <w:rFonts w:ascii="Arial" w:hAnsi="Arial" w:cs="Arial"/>
          <w:sz w:val="24"/>
          <w:szCs w:val="24"/>
          <w:lang w:val="en-US"/>
        </w:rPr>
        <w:t xml:space="preserve"> </w:t>
      </w:r>
      <w:r w:rsidR="00502F31" w:rsidRPr="008F486E">
        <w:rPr>
          <w:rFonts w:ascii="Arial" w:hAnsi="Arial" w:cs="Arial"/>
          <w:sz w:val="24"/>
          <w:szCs w:val="24"/>
          <w:lang w:val="en-US"/>
        </w:rPr>
        <w:t>Fukuoka (Japan) 2005, pp. 364-</w:t>
      </w:r>
      <w:r w:rsidR="004D5786" w:rsidRPr="008F486E">
        <w:rPr>
          <w:rFonts w:ascii="Arial" w:hAnsi="Arial" w:cs="Arial"/>
          <w:sz w:val="24"/>
          <w:szCs w:val="24"/>
          <w:lang w:val="en-US"/>
        </w:rPr>
        <w:t>370.</w:t>
      </w:r>
    </w:p>
    <w:p w:rsidR="006C5677" w:rsidRPr="008F486E" w:rsidRDefault="009C3E89" w:rsidP="008F486E">
      <w:pPr>
        <w:spacing w:line="360" w:lineRule="auto"/>
        <w:jc w:val="both"/>
        <w:rPr>
          <w:rFonts w:ascii="Arial" w:hAnsi="Arial" w:cs="Arial"/>
          <w:sz w:val="24"/>
          <w:szCs w:val="24"/>
        </w:rPr>
      </w:pPr>
      <w:r w:rsidRPr="008F486E">
        <w:rPr>
          <w:rFonts w:ascii="Arial" w:hAnsi="Arial" w:cs="Arial"/>
          <w:sz w:val="24"/>
          <w:szCs w:val="24"/>
        </w:rPr>
        <w:t>DE FARAMIÑÁN GILBERT, J.M.</w:t>
      </w:r>
      <w:r w:rsidR="006C5677" w:rsidRPr="008F486E">
        <w:rPr>
          <w:rFonts w:ascii="Arial" w:hAnsi="Arial" w:cs="Arial"/>
          <w:sz w:val="24"/>
          <w:szCs w:val="24"/>
        </w:rPr>
        <w:t xml:space="preserve">: «Derecho al desarme y seguridad humana», en Carmelo </w:t>
      </w:r>
      <w:proofErr w:type="spellStart"/>
      <w:r w:rsidR="006C5677" w:rsidRPr="008F486E">
        <w:rPr>
          <w:rFonts w:ascii="Arial" w:hAnsi="Arial" w:cs="Arial"/>
          <w:sz w:val="24"/>
          <w:szCs w:val="24"/>
        </w:rPr>
        <w:t>Faleh</w:t>
      </w:r>
      <w:proofErr w:type="spellEnd"/>
      <w:r w:rsidR="006C5677" w:rsidRPr="008F486E">
        <w:rPr>
          <w:rFonts w:ascii="Arial" w:hAnsi="Arial" w:cs="Arial"/>
          <w:sz w:val="24"/>
          <w:szCs w:val="24"/>
        </w:rPr>
        <w:t xml:space="preserve"> Pérez y Carlos Villán Durán (</w:t>
      </w:r>
      <w:proofErr w:type="spellStart"/>
      <w:r w:rsidR="006C5677" w:rsidRPr="008F486E">
        <w:rPr>
          <w:rFonts w:ascii="Arial" w:hAnsi="Arial" w:cs="Arial"/>
          <w:sz w:val="24"/>
          <w:szCs w:val="24"/>
        </w:rPr>
        <w:t>dirs</w:t>
      </w:r>
      <w:proofErr w:type="spellEnd"/>
      <w:r w:rsidR="006C5677" w:rsidRPr="008F486E">
        <w:rPr>
          <w:rFonts w:ascii="Arial" w:hAnsi="Arial" w:cs="Arial"/>
          <w:sz w:val="24"/>
          <w:szCs w:val="24"/>
        </w:rPr>
        <w:t xml:space="preserve">.): </w:t>
      </w:r>
      <w:r w:rsidR="006C5677" w:rsidRPr="008F486E">
        <w:rPr>
          <w:rFonts w:ascii="Arial" w:hAnsi="Arial" w:cs="Arial"/>
          <w:i/>
          <w:sz w:val="24"/>
          <w:szCs w:val="24"/>
        </w:rPr>
        <w:t>El derecho humano a la paz y la (in)seguridad humana</w:t>
      </w:r>
      <w:r w:rsidR="006C5677" w:rsidRPr="008F486E">
        <w:rPr>
          <w:rFonts w:ascii="Arial" w:hAnsi="Arial" w:cs="Arial"/>
          <w:sz w:val="24"/>
          <w:szCs w:val="24"/>
        </w:rPr>
        <w:t xml:space="preserve">, </w:t>
      </w:r>
      <w:proofErr w:type="spellStart"/>
      <w:r w:rsidR="006C5677" w:rsidRPr="008F486E">
        <w:rPr>
          <w:rFonts w:ascii="Arial" w:hAnsi="Arial" w:cs="Arial"/>
          <w:sz w:val="24"/>
          <w:szCs w:val="24"/>
        </w:rPr>
        <w:t>Luarca</w:t>
      </w:r>
      <w:proofErr w:type="spellEnd"/>
      <w:r w:rsidR="006C5677" w:rsidRPr="008F486E">
        <w:rPr>
          <w:rFonts w:ascii="Arial" w:hAnsi="Arial" w:cs="Arial"/>
          <w:sz w:val="24"/>
          <w:szCs w:val="24"/>
        </w:rPr>
        <w:t xml:space="preserve">/Oviedo: AEDIDH/Velasco, 2017. </w:t>
      </w:r>
    </w:p>
    <w:p w:rsidR="00F502FB" w:rsidRPr="008F486E" w:rsidRDefault="009A11F1" w:rsidP="008F486E">
      <w:pPr>
        <w:spacing w:line="360" w:lineRule="auto"/>
        <w:jc w:val="both"/>
        <w:rPr>
          <w:rFonts w:ascii="Arial" w:hAnsi="Arial" w:cs="Arial"/>
          <w:sz w:val="24"/>
          <w:szCs w:val="24"/>
          <w:lang w:val="en-US"/>
        </w:rPr>
      </w:pPr>
      <w:r w:rsidRPr="008F486E">
        <w:rPr>
          <w:rFonts w:ascii="Arial" w:hAnsi="Arial" w:cs="Arial"/>
          <w:sz w:val="24"/>
          <w:szCs w:val="24"/>
          <w:lang w:val="en-US"/>
        </w:rPr>
        <w:t>FREELAND, S &amp; JAKHU</w:t>
      </w:r>
      <w:r w:rsidR="000C6FCA" w:rsidRPr="008F486E">
        <w:rPr>
          <w:rFonts w:ascii="Arial" w:hAnsi="Arial" w:cs="Arial"/>
          <w:sz w:val="24"/>
          <w:szCs w:val="24"/>
          <w:lang w:val="en-US"/>
        </w:rPr>
        <w:t>, R.,</w:t>
      </w:r>
      <w:r w:rsidR="00AD6636" w:rsidRPr="008F486E">
        <w:rPr>
          <w:rFonts w:ascii="Arial" w:hAnsi="Arial" w:cs="Arial"/>
          <w:sz w:val="24"/>
          <w:szCs w:val="24"/>
          <w:lang w:val="en-US"/>
        </w:rPr>
        <w:t xml:space="preserve"> </w:t>
      </w:r>
      <w:r w:rsidR="00F502FB" w:rsidRPr="008F486E">
        <w:rPr>
          <w:rFonts w:ascii="Arial" w:hAnsi="Arial" w:cs="Arial"/>
          <w:sz w:val="24"/>
          <w:szCs w:val="24"/>
          <w:lang w:val="en-US"/>
        </w:rPr>
        <w:t xml:space="preserve">“Article II”, </w:t>
      </w:r>
      <w:r w:rsidR="00AD6636" w:rsidRPr="008F486E">
        <w:rPr>
          <w:rFonts w:ascii="Arial" w:hAnsi="Arial" w:cs="Arial"/>
          <w:i/>
          <w:sz w:val="24"/>
          <w:szCs w:val="24"/>
          <w:lang w:val="en-US"/>
        </w:rPr>
        <w:t>COCOSL, Vol. 1</w:t>
      </w:r>
      <w:r w:rsidR="00F502FB" w:rsidRPr="008F486E">
        <w:rPr>
          <w:rFonts w:ascii="Arial" w:hAnsi="Arial" w:cs="Arial"/>
          <w:i/>
          <w:sz w:val="24"/>
          <w:szCs w:val="24"/>
          <w:lang w:val="en-US"/>
        </w:rPr>
        <w:t>: Outer Space Treaty</w:t>
      </w:r>
      <w:r w:rsidR="00502F31" w:rsidRPr="008F486E">
        <w:rPr>
          <w:rFonts w:ascii="Arial" w:hAnsi="Arial" w:cs="Arial"/>
          <w:sz w:val="24"/>
          <w:szCs w:val="24"/>
          <w:lang w:val="en-US"/>
        </w:rPr>
        <w:t>, 2009, pp. 44-</w:t>
      </w:r>
      <w:r w:rsidR="00F502FB" w:rsidRPr="008F486E">
        <w:rPr>
          <w:rFonts w:ascii="Arial" w:hAnsi="Arial" w:cs="Arial"/>
          <w:sz w:val="24"/>
          <w:szCs w:val="24"/>
          <w:lang w:val="en-US"/>
        </w:rPr>
        <w:t xml:space="preserve"> 63.</w:t>
      </w:r>
    </w:p>
    <w:p w:rsidR="00510E3B" w:rsidRPr="008F486E" w:rsidRDefault="00510E3B" w:rsidP="008F486E">
      <w:pPr>
        <w:spacing w:line="360" w:lineRule="auto"/>
        <w:jc w:val="both"/>
        <w:rPr>
          <w:rFonts w:ascii="Arial" w:hAnsi="Arial" w:cs="Arial"/>
          <w:sz w:val="24"/>
          <w:szCs w:val="24"/>
          <w:lang w:val="en-US"/>
        </w:rPr>
      </w:pPr>
      <w:proofErr w:type="gramStart"/>
      <w:r w:rsidRPr="008F486E">
        <w:rPr>
          <w:rFonts w:ascii="Arial" w:hAnsi="Arial" w:cs="Arial"/>
          <w:sz w:val="24"/>
          <w:szCs w:val="24"/>
          <w:lang w:val="en-US"/>
        </w:rPr>
        <w:t>HOFFMAN, M., “COSPAR Recommendations in a New Context?</w:t>
      </w:r>
      <w:proofErr w:type="gramEnd"/>
      <w:r w:rsidRPr="008F486E">
        <w:rPr>
          <w:rFonts w:ascii="Arial" w:hAnsi="Arial" w:cs="Arial"/>
          <w:sz w:val="24"/>
          <w:szCs w:val="24"/>
          <w:lang w:val="en-US"/>
        </w:rPr>
        <w:t xml:space="preserve"> Environmental Aspects of Space Mining”, </w:t>
      </w:r>
      <w:r w:rsidRPr="008F486E">
        <w:rPr>
          <w:rFonts w:ascii="Arial" w:hAnsi="Arial" w:cs="Arial"/>
          <w:i/>
          <w:sz w:val="24"/>
          <w:szCs w:val="24"/>
          <w:lang w:val="en-US"/>
        </w:rPr>
        <w:t>Proceedings IISL</w:t>
      </w:r>
      <w:r w:rsidRPr="008F486E">
        <w:rPr>
          <w:rFonts w:ascii="Arial" w:hAnsi="Arial" w:cs="Arial"/>
          <w:sz w:val="24"/>
          <w:szCs w:val="24"/>
          <w:lang w:val="en-US"/>
        </w:rPr>
        <w:t>, Eleven Internatio</w:t>
      </w:r>
      <w:r w:rsidR="00502F31" w:rsidRPr="008F486E">
        <w:rPr>
          <w:rFonts w:ascii="Arial" w:hAnsi="Arial" w:cs="Arial"/>
          <w:sz w:val="24"/>
          <w:szCs w:val="24"/>
          <w:lang w:val="en-US"/>
        </w:rPr>
        <w:t>nal Publishing, 2016, pp. 201-</w:t>
      </w:r>
      <w:r w:rsidRPr="008F486E">
        <w:rPr>
          <w:rFonts w:ascii="Arial" w:hAnsi="Arial" w:cs="Arial"/>
          <w:sz w:val="24"/>
          <w:szCs w:val="24"/>
          <w:lang w:val="en-US"/>
        </w:rPr>
        <w:t>212.</w:t>
      </w:r>
    </w:p>
    <w:p w:rsidR="006C72A1" w:rsidRPr="008F486E" w:rsidRDefault="00C61497" w:rsidP="008F486E">
      <w:pPr>
        <w:spacing w:line="360" w:lineRule="auto"/>
        <w:jc w:val="both"/>
        <w:rPr>
          <w:rFonts w:ascii="Arial" w:hAnsi="Arial" w:cs="Arial"/>
          <w:sz w:val="24"/>
          <w:szCs w:val="24"/>
          <w:lang w:val="en-US"/>
        </w:rPr>
      </w:pPr>
      <w:r w:rsidRPr="008F486E">
        <w:rPr>
          <w:rFonts w:ascii="Arial" w:hAnsi="Arial" w:cs="Arial"/>
          <w:sz w:val="24"/>
          <w:szCs w:val="24"/>
          <w:lang w:val="en-US"/>
        </w:rPr>
        <w:t xml:space="preserve">LAFERRANDERIE, G., “Basic Principles Governing the Use of Outer Space in Future Perspective”, </w:t>
      </w:r>
      <w:r w:rsidR="00F502FB" w:rsidRPr="008F486E">
        <w:rPr>
          <w:rFonts w:ascii="Arial" w:hAnsi="Arial" w:cs="Arial"/>
          <w:i/>
          <w:sz w:val="24"/>
          <w:szCs w:val="24"/>
          <w:lang w:val="en-US"/>
        </w:rPr>
        <w:t>EASL 2: Space Law</w:t>
      </w:r>
      <w:r w:rsidRPr="008F486E">
        <w:rPr>
          <w:rFonts w:ascii="Arial" w:hAnsi="Arial" w:cs="Arial"/>
          <w:i/>
          <w:sz w:val="24"/>
          <w:szCs w:val="24"/>
          <w:lang w:val="en-US"/>
        </w:rPr>
        <w:t>: Current problems and Perspectives for Future Regulation</w:t>
      </w:r>
      <w:r w:rsidR="00502F31" w:rsidRPr="008F486E">
        <w:rPr>
          <w:rFonts w:ascii="Arial" w:hAnsi="Arial" w:cs="Arial"/>
          <w:sz w:val="24"/>
          <w:szCs w:val="24"/>
          <w:lang w:val="en-US"/>
        </w:rPr>
        <w:t>, 2005, pp. 5 -</w:t>
      </w:r>
      <w:r w:rsidRPr="008F486E">
        <w:rPr>
          <w:rFonts w:ascii="Arial" w:hAnsi="Arial" w:cs="Arial"/>
          <w:sz w:val="24"/>
          <w:szCs w:val="24"/>
          <w:lang w:val="en-US"/>
        </w:rPr>
        <w:t>28.</w:t>
      </w:r>
      <w:r w:rsidR="006C72A1" w:rsidRPr="008F486E">
        <w:rPr>
          <w:rFonts w:ascii="Arial" w:hAnsi="Arial" w:cs="Arial"/>
          <w:sz w:val="24"/>
          <w:szCs w:val="24"/>
          <w:lang w:val="en-US"/>
        </w:rPr>
        <w:t xml:space="preserve">  </w:t>
      </w:r>
    </w:p>
    <w:p w:rsidR="00C61497" w:rsidRPr="008F486E" w:rsidRDefault="00C61497" w:rsidP="008F486E">
      <w:pPr>
        <w:spacing w:line="360" w:lineRule="auto"/>
        <w:jc w:val="both"/>
        <w:rPr>
          <w:rFonts w:ascii="Arial" w:hAnsi="Arial" w:cs="Arial"/>
          <w:b/>
          <w:sz w:val="24"/>
          <w:szCs w:val="24"/>
        </w:rPr>
      </w:pPr>
      <w:r w:rsidRPr="008F486E">
        <w:rPr>
          <w:rFonts w:ascii="Arial" w:hAnsi="Arial" w:cs="Arial"/>
          <w:sz w:val="24"/>
          <w:szCs w:val="24"/>
        </w:rPr>
        <w:lastRenderedPageBreak/>
        <w:t xml:space="preserve">MARCOFF, M.G., </w:t>
      </w:r>
      <w:proofErr w:type="spellStart"/>
      <w:r w:rsidRPr="008F486E">
        <w:rPr>
          <w:rFonts w:ascii="Arial" w:hAnsi="Arial" w:cs="Arial"/>
          <w:i/>
          <w:sz w:val="24"/>
          <w:szCs w:val="24"/>
        </w:rPr>
        <w:t>Traité</w:t>
      </w:r>
      <w:proofErr w:type="spellEnd"/>
      <w:r w:rsidRPr="008F486E">
        <w:rPr>
          <w:rFonts w:ascii="Arial" w:hAnsi="Arial" w:cs="Arial"/>
          <w:i/>
          <w:sz w:val="24"/>
          <w:szCs w:val="24"/>
        </w:rPr>
        <w:t xml:space="preserve"> de </w:t>
      </w:r>
      <w:proofErr w:type="spellStart"/>
      <w:r w:rsidRPr="008F486E">
        <w:rPr>
          <w:rFonts w:ascii="Arial" w:hAnsi="Arial" w:cs="Arial"/>
          <w:i/>
          <w:sz w:val="24"/>
          <w:szCs w:val="24"/>
        </w:rPr>
        <w:t>Droit</w:t>
      </w:r>
      <w:proofErr w:type="spellEnd"/>
      <w:r w:rsidRPr="008F486E">
        <w:rPr>
          <w:rFonts w:ascii="Arial" w:hAnsi="Arial" w:cs="Arial"/>
          <w:i/>
          <w:sz w:val="24"/>
          <w:szCs w:val="24"/>
        </w:rPr>
        <w:t xml:space="preserve"> International </w:t>
      </w:r>
      <w:proofErr w:type="spellStart"/>
      <w:r w:rsidRPr="008F486E">
        <w:rPr>
          <w:rFonts w:ascii="Arial" w:hAnsi="Arial" w:cs="Arial"/>
          <w:i/>
          <w:sz w:val="24"/>
          <w:szCs w:val="24"/>
        </w:rPr>
        <w:t>Public</w:t>
      </w:r>
      <w:proofErr w:type="spellEnd"/>
      <w:r w:rsidRPr="008F486E">
        <w:rPr>
          <w:rFonts w:ascii="Arial" w:hAnsi="Arial" w:cs="Arial"/>
          <w:i/>
          <w:sz w:val="24"/>
          <w:szCs w:val="24"/>
        </w:rPr>
        <w:t xml:space="preserve"> de </w:t>
      </w:r>
      <w:proofErr w:type="spellStart"/>
      <w:r w:rsidRPr="008F486E">
        <w:rPr>
          <w:rFonts w:ascii="Arial" w:hAnsi="Arial" w:cs="Arial"/>
          <w:i/>
          <w:sz w:val="24"/>
          <w:szCs w:val="24"/>
        </w:rPr>
        <w:t>l´Espace</w:t>
      </w:r>
      <w:proofErr w:type="spellEnd"/>
      <w:r w:rsidRPr="008F486E">
        <w:rPr>
          <w:rFonts w:ascii="Arial" w:hAnsi="Arial" w:cs="Arial"/>
          <w:sz w:val="24"/>
          <w:szCs w:val="24"/>
        </w:rPr>
        <w:t xml:space="preserve">, </w:t>
      </w:r>
      <w:proofErr w:type="spellStart"/>
      <w:r w:rsidRPr="008F486E">
        <w:rPr>
          <w:rFonts w:ascii="Arial" w:hAnsi="Arial" w:cs="Arial"/>
          <w:sz w:val="24"/>
          <w:szCs w:val="24"/>
        </w:rPr>
        <w:t>Fribourg</w:t>
      </w:r>
      <w:proofErr w:type="spellEnd"/>
      <w:r w:rsidRPr="008F486E">
        <w:rPr>
          <w:rFonts w:ascii="Arial" w:hAnsi="Arial" w:cs="Arial"/>
          <w:sz w:val="24"/>
          <w:szCs w:val="24"/>
        </w:rPr>
        <w:t xml:space="preserve">, </w:t>
      </w:r>
      <w:proofErr w:type="spellStart"/>
      <w:r w:rsidRPr="008F486E">
        <w:rPr>
          <w:rFonts w:ascii="Arial" w:hAnsi="Arial" w:cs="Arial"/>
          <w:sz w:val="24"/>
          <w:szCs w:val="24"/>
        </w:rPr>
        <w:t>Suisse</w:t>
      </w:r>
      <w:proofErr w:type="spellEnd"/>
      <w:r w:rsidRPr="008F486E">
        <w:rPr>
          <w:rFonts w:ascii="Arial" w:hAnsi="Arial" w:cs="Arial"/>
          <w:sz w:val="24"/>
          <w:szCs w:val="24"/>
        </w:rPr>
        <w:t>, NY, 2003.</w:t>
      </w:r>
    </w:p>
    <w:p w:rsidR="00405931" w:rsidRPr="008F486E" w:rsidRDefault="00D87986" w:rsidP="008F486E">
      <w:pPr>
        <w:spacing w:line="360" w:lineRule="auto"/>
        <w:jc w:val="both"/>
        <w:rPr>
          <w:rFonts w:ascii="Arial" w:hAnsi="Arial" w:cs="Arial"/>
          <w:sz w:val="24"/>
          <w:szCs w:val="24"/>
        </w:rPr>
      </w:pPr>
      <w:r w:rsidRPr="008F486E">
        <w:rPr>
          <w:rFonts w:ascii="Arial" w:hAnsi="Arial" w:cs="Arial"/>
          <w:sz w:val="24"/>
          <w:szCs w:val="24"/>
        </w:rPr>
        <w:t xml:space="preserve">MORO AGUILAR, R., “COPUOS”, </w:t>
      </w:r>
      <w:r w:rsidR="00D7465F" w:rsidRPr="008F486E">
        <w:rPr>
          <w:rFonts w:ascii="Arial" w:hAnsi="Arial" w:cs="Arial"/>
          <w:i/>
          <w:sz w:val="24"/>
          <w:szCs w:val="24"/>
        </w:rPr>
        <w:t>Curso General sobre Derecho Espacial</w:t>
      </w:r>
      <w:r w:rsidR="00D7465F" w:rsidRPr="008F486E">
        <w:rPr>
          <w:rFonts w:ascii="Arial" w:hAnsi="Arial" w:cs="Arial"/>
          <w:sz w:val="24"/>
          <w:szCs w:val="24"/>
        </w:rPr>
        <w:t>, I</w:t>
      </w:r>
      <w:r w:rsidR="00502F31" w:rsidRPr="008F486E">
        <w:rPr>
          <w:rFonts w:ascii="Arial" w:hAnsi="Arial" w:cs="Arial"/>
          <w:sz w:val="24"/>
          <w:szCs w:val="24"/>
        </w:rPr>
        <w:t>IDAEAC, Madrid 2011, pp. 36 -</w:t>
      </w:r>
      <w:r w:rsidR="00DF6371" w:rsidRPr="008F486E">
        <w:rPr>
          <w:rFonts w:ascii="Arial" w:hAnsi="Arial" w:cs="Arial"/>
          <w:sz w:val="24"/>
          <w:szCs w:val="24"/>
        </w:rPr>
        <w:t>38</w:t>
      </w:r>
      <w:r w:rsidR="00D7465F" w:rsidRPr="008F486E">
        <w:rPr>
          <w:rFonts w:ascii="Arial" w:hAnsi="Arial" w:cs="Arial"/>
          <w:sz w:val="24"/>
          <w:szCs w:val="24"/>
        </w:rPr>
        <w:t>.</w:t>
      </w:r>
    </w:p>
    <w:p w:rsidR="00824BBF" w:rsidRPr="008F486E" w:rsidRDefault="00824BBF" w:rsidP="008F486E">
      <w:pPr>
        <w:spacing w:line="360" w:lineRule="auto"/>
        <w:jc w:val="both"/>
        <w:rPr>
          <w:rFonts w:ascii="Arial" w:hAnsi="Arial" w:cs="Arial"/>
          <w:sz w:val="24"/>
          <w:szCs w:val="24"/>
          <w:lang w:val="en-US"/>
        </w:rPr>
      </w:pPr>
      <w:r w:rsidRPr="008F486E">
        <w:rPr>
          <w:rFonts w:ascii="Arial" w:hAnsi="Arial" w:cs="Arial"/>
          <w:sz w:val="24"/>
          <w:szCs w:val="24"/>
        </w:rPr>
        <w:t>PA</w:t>
      </w:r>
      <w:r w:rsidR="00C61497" w:rsidRPr="008F486E">
        <w:rPr>
          <w:rFonts w:ascii="Arial" w:hAnsi="Arial" w:cs="Arial"/>
          <w:sz w:val="24"/>
          <w:szCs w:val="24"/>
        </w:rPr>
        <w:t>S</w:t>
      </w:r>
      <w:r w:rsidRPr="008F486E">
        <w:rPr>
          <w:rFonts w:ascii="Arial" w:hAnsi="Arial" w:cs="Arial"/>
          <w:sz w:val="24"/>
          <w:szCs w:val="24"/>
        </w:rPr>
        <w:t xml:space="preserve">TOR RIDRUEJO, J.A, </w:t>
      </w:r>
      <w:r w:rsidRPr="008F486E">
        <w:rPr>
          <w:rFonts w:ascii="Arial" w:hAnsi="Arial" w:cs="Arial"/>
          <w:i/>
          <w:sz w:val="24"/>
          <w:szCs w:val="24"/>
        </w:rPr>
        <w:t xml:space="preserve">Curso de Derecho Internacional Público y Organizaciones Internacionales, </w:t>
      </w:r>
      <w:r w:rsidRPr="008F486E">
        <w:rPr>
          <w:rFonts w:ascii="Arial" w:hAnsi="Arial" w:cs="Arial"/>
          <w:sz w:val="24"/>
          <w:szCs w:val="24"/>
        </w:rPr>
        <w:t xml:space="preserve">19 ed. </w:t>
      </w:r>
      <w:proofErr w:type="spellStart"/>
      <w:r w:rsidRPr="008F486E">
        <w:rPr>
          <w:rFonts w:ascii="Arial" w:hAnsi="Arial" w:cs="Arial"/>
          <w:sz w:val="24"/>
          <w:szCs w:val="24"/>
          <w:lang w:val="en-US"/>
        </w:rPr>
        <w:t>Tecnos</w:t>
      </w:r>
      <w:proofErr w:type="spellEnd"/>
      <w:r w:rsidRPr="008F486E">
        <w:rPr>
          <w:rFonts w:ascii="Arial" w:hAnsi="Arial" w:cs="Arial"/>
          <w:sz w:val="24"/>
          <w:szCs w:val="24"/>
          <w:lang w:val="en-US"/>
        </w:rPr>
        <w:t>, Madrid 2015.</w:t>
      </w:r>
    </w:p>
    <w:p w:rsidR="002F5F4D" w:rsidRPr="008F486E" w:rsidRDefault="002F5F4D" w:rsidP="008F486E">
      <w:pPr>
        <w:spacing w:line="360" w:lineRule="auto"/>
        <w:jc w:val="both"/>
        <w:rPr>
          <w:rFonts w:ascii="Arial" w:hAnsi="Arial" w:cs="Arial"/>
          <w:sz w:val="24"/>
          <w:szCs w:val="24"/>
          <w:lang w:val="en-US"/>
        </w:rPr>
      </w:pPr>
      <w:proofErr w:type="gramStart"/>
      <w:r w:rsidRPr="008F486E">
        <w:rPr>
          <w:rFonts w:ascii="Arial" w:hAnsi="Arial" w:cs="Arial"/>
          <w:sz w:val="24"/>
          <w:szCs w:val="24"/>
          <w:lang w:val="en-US"/>
        </w:rPr>
        <w:t>POTTER, M., “</w:t>
      </w:r>
      <w:proofErr w:type="spellStart"/>
      <w:r w:rsidRPr="008F486E">
        <w:rPr>
          <w:rFonts w:ascii="Arial" w:hAnsi="Arial" w:cs="Arial"/>
          <w:sz w:val="24"/>
          <w:szCs w:val="24"/>
          <w:lang w:val="en-US"/>
        </w:rPr>
        <w:t>Cibersecurity</w:t>
      </w:r>
      <w:proofErr w:type="spellEnd"/>
      <w:r w:rsidRPr="008F486E">
        <w:rPr>
          <w:rFonts w:ascii="Arial" w:hAnsi="Arial" w:cs="Arial"/>
          <w:sz w:val="24"/>
          <w:szCs w:val="24"/>
          <w:lang w:val="en-US"/>
        </w:rPr>
        <w:t xml:space="preserve"> in the Space Age”, </w:t>
      </w:r>
      <w:r w:rsidRPr="008F486E">
        <w:rPr>
          <w:rFonts w:ascii="Arial" w:hAnsi="Arial" w:cs="Arial"/>
          <w:i/>
          <w:sz w:val="24"/>
          <w:szCs w:val="24"/>
          <w:lang w:val="en-US"/>
        </w:rPr>
        <w:t>Proceedings IISL</w:t>
      </w:r>
      <w:r w:rsidRPr="008F486E">
        <w:rPr>
          <w:rFonts w:ascii="Arial" w:hAnsi="Arial" w:cs="Arial"/>
          <w:sz w:val="24"/>
          <w:szCs w:val="24"/>
          <w:lang w:val="en-US"/>
        </w:rPr>
        <w:t>, Eleven International Publishing,</w:t>
      </w:r>
      <w:r w:rsidR="00502F31" w:rsidRPr="008F486E">
        <w:rPr>
          <w:rFonts w:ascii="Arial" w:hAnsi="Arial" w:cs="Arial"/>
          <w:sz w:val="24"/>
          <w:szCs w:val="24"/>
          <w:lang w:val="en-US"/>
        </w:rPr>
        <w:t xml:space="preserve"> 2015, pp. 267 -</w:t>
      </w:r>
      <w:r w:rsidRPr="008F486E">
        <w:rPr>
          <w:rFonts w:ascii="Arial" w:hAnsi="Arial" w:cs="Arial"/>
          <w:sz w:val="24"/>
          <w:szCs w:val="24"/>
          <w:lang w:val="en-US"/>
        </w:rPr>
        <w:t>283.</w:t>
      </w:r>
      <w:proofErr w:type="gramEnd"/>
    </w:p>
    <w:p w:rsidR="002F5F4D" w:rsidRPr="008F486E" w:rsidRDefault="002F5F4D" w:rsidP="008F486E">
      <w:pPr>
        <w:spacing w:line="360" w:lineRule="auto"/>
        <w:jc w:val="both"/>
        <w:rPr>
          <w:rFonts w:ascii="Arial" w:hAnsi="Arial" w:cs="Arial"/>
          <w:sz w:val="24"/>
          <w:szCs w:val="24"/>
          <w:lang w:val="en-US"/>
        </w:rPr>
      </w:pPr>
      <w:r w:rsidRPr="008F486E">
        <w:rPr>
          <w:rFonts w:ascii="Arial" w:hAnsi="Arial" w:cs="Arial"/>
          <w:sz w:val="24"/>
          <w:szCs w:val="24"/>
          <w:lang w:val="en-US"/>
        </w:rPr>
        <w:t xml:space="preserve">RINNER, A., “Impact of International Code of Conduct for Outer Space Activities and EU Contribution to Collaborative Projects. Devising a New Approach for Space Law in Europe”, </w:t>
      </w:r>
      <w:r w:rsidR="009A11F1" w:rsidRPr="008F486E">
        <w:rPr>
          <w:rFonts w:ascii="Arial" w:hAnsi="Arial" w:cs="Arial"/>
          <w:sz w:val="24"/>
          <w:szCs w:val="24"/>
          <w:lang w:val="en-US"/>
        </w:rPr>
        <w:t>Proceedings IISL, Eleven International Publishing</w:t>
      </w:r>
      <w:r w:rsidR="00502F31" w:rsidRPr="008F486E">
        <w:rPr>
          <w:rFonts w:ascii="Arial" w:hAnsi="Arial" w:cs="Arial"/>
          <w:sz w:val="24"/>
          <w:szCs w:val="24"/>
          <w:lang w:val="en-US"/>
        </w:rPr>
        <w:t xml:space="preserve"> 2015, pp. 699 -</w:t>
      </w:r>
      <w:r w:rsidR="009A11F1" w:rsidRPr="008F486E">
        <w:rPr>
          <w:rFonts w:ascii="Arial" w:hAnsi="Arial" w:cs="Arial"/>
          <w:sz w:val="24"/>
          <w:szCs w:val="24"/>
          <w:lang w:val="en-US"/>
        </w:rPr>
        <w:t>705.</w:t>
      </w:r>
    </w:p>
    <w:p w:rsidR="00D87986" w:rsidRPr="008F486E" w:rsidRDefault="00D87986" w:rsidP="008F486E">
      <w:pPr>
        <w:spacing w:line="360" w:lineRule="auto"/>
        <w:jc w:val="both"/>
        <w:rPr>
          <w:rFonts w:ascii="Arial" w:hAnsi="Arial" w:cs="Arial"/>
          <w:sz w:val="24"/>
          <w:szCs w:val="24"/>
          <w:lang w:val="en-US"/>
        </w:rPr>
      </w:pPr>
      <w:r w:rsidRPr="008F486E">
        <w:rPr>
          <w:rFonts w:ascii="Arial" w:hAnsi="Arial" w:cs="Arial"/>
          <w:sz w:val="24"/>
          <w:szCs w:val="24"/>
          <w:lang w:val="en-US"/>
        </w:rPr>
        <w:t xml:space="preserve">SMITH, L.J., “Legal Aspects of Satellite Navigation”, </w:t>
      </w:r>
      <w:proofErr w:type="spellStart"/>
      <w:r w:rsidRPr="008F486E">
        <w:rPr>
          <w:rFonts w:ascii="Arial" w:hAnsi="Arial" w:cs="Arial"/>
          <w:i/>
          <w:sz w:val="24"/>
          <w:szCs w:val="24"/>
          <w:lang w:val="en-US"/>
        </w:rPr>
        <w:t>Handbokk</w:t>
      </w:r>
      <w:proofErr w:type="spellEnd"/>
      <w:r w:rsidRPr="008F486E">
        <w:rPr>
          <w:rFonts w:ascii="Arial" w:hAnsi="Arial" w:cs="Arial"/>
          <w:i/>
          <w:sz w:val="24"/>
          <w:szCs w:val="24"/>
          <w:lang w:val="en-US"/>
        </w:rPr>
        <w:t xml:space="preserve"> of Space Law</w:t>
      </w:r>
      <w:r w:rsidRPr="008F486E">
        <w:rPr>
          <w:rFonts w:ascii="Arial" w:hAnsi="Arial" w:cs="Arial"/>
          <w:sz w:val="24"/>
          <w:szCs w:val="24"/>
          <w:lang w:val="en-US"/>
        </w:rPr>
        <w:t>, Eduard Elgar Publishing Li</w:t>
      </w:r>
      <w:r w:rsidR="00502F31" w:rsidRPr="008F486E">
        <w:rPr>
          <w:rFonts w:ascii="Arial" w:hAnsi="Arial" w:cs="Arial"/>
          <w:sz w:val="24"/>
          <w:szCs w:val="24"/>
          <w:lang w:val="en-US"/>
        </w:rPr>
        <w:t xml:space="preserve">mited, UK, USA, 2015. </w:t>
      </w:r>
      <w:proofErr w:type="gramStart"/>
      <w:r w:rsidR="00502F31" w:rsidRPr="008F486E">
        <w:rPr>
          <w:rFonts w:ascii="Arial" w:hAnsi="Arial" w:cs="Arial"/>
          <w:sz w:val="24"/>
          <w:szCs w:val="24"/>
          <w:lang w:val="en-US"/>
        </w:rPr>
        <w:t>Pp. 554 -</w:t>
      </w:r>
      <w:r w:rsidRPr="008F486E">
        <w:rPr>
          <w:rFonts w:ascii="Arial" w:hAnsi="Arial" w:cs="Arial"/>
          <w:sz w:val="24"/>
          <w:szCs w:val="24"/>
          <w:lang w:val="en-US"/>
        </w:rPr>
        <w:t>617.</w:t>
      </w:r>
      <w:proofErr w:type="gramEnd"/>
    </w:p>
    <w:p w:rsidR="00510E3B" w:rsidRPr="008F486E" w:rsidRDefault="00510E3B" w:rsidP="008F486E">
      <w:pPr>
        <w:spacing w:line="360" w:lineRule="auto"/>
        <w:jc w:val="both"/>
        <w:rPr>
          <w:rFonts w:ascii="Arial" w:hAnsi="Arial" w:cs="Arial"/>
          <w:i/>
          <w:sz w:val="24"/>
          <w:szCs w:val="24"/>
          <w:lang w:val="en-US"/>
        </w:rPr>
      </w:pPr>
      <w:r w:rsidRPr="008F486E">
        <w:rPr>
          <w:rFonts w:ascii="Arial" w:hAnsi="Arial" w:cs="Arial"/>
          <w:sz w:val="24"/>
          <w:szCs w:val="24"/>
          <w:lang w:val="en-US"/>
        </w:rPr>
        <w:t>STEFOUDI, D., “</w:t>
      </w:r>
      <w:r w:rsidR="009A11F1" w:rsidRPr="008F486E">
        <w:rPr>
          <w:rFonts w:ascii="Arial" w:hAnsi="Arial" w:cs="Arial"/>
          <w:sz w:val="24"/>
          <w:szCs w:val="24"/>
          <w:lang w:val="en-US"/>
        </w:rPr>
        <w:t>B</w:t>
      </w:r>
      <w:r w:rsidRPr="008F486E">
        <w:rPr>
          <w:rFonts w:ascii="Arial" w:hAnsi="Arial" w:cs="Arial"/>
          <w:sz w:val="24"/>
          <w:szCs w:val="24"/>
          <w:lang w:val="en-US"/>
        </w:rPr>
        <w:t xml:space="preserve">ig Data from Space. Legal Issues related to Access and Dissemination of Large Volumes of Space-Generated Data”, </w:t>
      </w:r>
      <w:r w:rsidRPr="008F486E">
        <w:rPr>
          <w:rFonts w:ascii="Arial" w:hAnsi="Arial" w:cs="Arial"/>
          <w:i/>
          <w:sz w:val="24"/>
          <w:szCs w:val="24"/>
          <w:lang w:val="en-US"/>
        </w:rPr>
        <w:t>Proceedings IISL</w:t>
      </w:r>
      <w:r w:rsidRPr="008F486E">
        <w:rPr>
          <w:rFonts w:ascii="Arial" w:hAnsi="Arial" w:cs="Arial"/>
          <w:sz w:val="24"/>
          <w:szCs w:val="24"/>
          <w:lang w:val="en-US"/>
        </w:rPr>
        <w:t>, Eleven International Publishing, 2016, pp.</w:t>
      </w:r>
      <w:r w:rsidR="00502F31" w:rsidRPr="008F486E">
        <w:rPr>
          <w:rFonts w:ascii="Arial" w:hAnsi="Arial" w:cs="Arial"/>
          <w:sz w:val="24"/>
          <w:szCs w:val="24"/>
          <w:lang w:val="en-US"/>
        </w:rPr>
        <w:t>49 -</w:t>
      </w:r>
      <w:r w:rsidRPr="008F486E">
        <w:rPr>
          <w:rFonts w:ascii="Arial" w:hAnsi="Arial" w:cs="Arial"/>
          <w:sz w:val="24"/>
          <w:szCs w:val="24"/>
          <w:lang w:val="en-US"/>
        </w:rPr>
        <w:t>60.</w:t>
      </w:r>
    </w:p>
    <w:p w:rsidR="006C5677" w:rsidRPr="008F486E" w:rsidRDefault="00D6500E" w:rsidP="008F486E">
      <w:pPr>
        <w:spacing w:line="360" w:lineRule="auto"/>
        <w:jc w:val="both"/>
        <w:rPr>
          <w:rFonts w:ascii="Arial" w:hAnsi="Arial" w:cs="Arial"/>
          <w:sz w:val="24"/>
          <w:szCs w:val="24"/>
        </w:rPr>
      </w:pPr>
      <w:r w:rsidRPr="008F486E">
        <w:rPr>
          <w:rFonts w:ascii="Arial" w:hAnsi="Arial" w:cs="Arial"/>
          <w:sz w:val="24"/>
          <w:szCs w:val="24"/>
        </w:rPr>
        <w:t>WILLIAMS, S.M.,  “El Riesgo Creciente de los Residuos Espaciales”, en XL Jornadas Iberoamericanas de Derecho Aeronáutico y del Espacio y de la Aviación Comercial, IIDAEAC, Madrid 2012,  pp. 2</w:t>
      </w:r>
      <w:r w:rsidR="00502F31" w:rsidRPr="008F486E">
        <w:rPr>
          <w:rFonts w:ascii="Arial" w:hAnsi="Arial" w:cs="Arial"/>
          <w:sz w:val="24"/>
          <w:szCs w:val="24"/>
        </w:rPr>
        <w:t>15 -</w:t>
      </w:r>
      <w:r w:rsidR="00DF6371" w:rsidRPr="008F486E">
        <w:rPr>
          <w:rFonts w:ascii="Arial" w:hAnsi="Arial" w:cs="Arial"/>
          <w:sz w:val="24"/>
          <w:szCs w:val="24"/>
        </w:rPr>
        <w:t>227.</w:t>
      </w:r>
    </w:p>
    <w:p w:rsidR="00A64F8C" w:rsidRPr="008F486E" w:rsidRDefault="00A64F8C" w:rsidP="008F486E">
      <w:pPr>
        <w:spacing w:line="360" w:lineRule="auto"/>
        <w:jc w:val="both"/>
        <w:rPr>
          <w:rFonts w:ascii="Arial" w:hAnsi="Arial" w:cs="Arial"/>
          <w:sz w:val="24"/>
          <w:szCs w:val="24"/>
        </w:rPr>
      </w:pPr>
    </w:p>
    <w:p w:rsidR="00B4283D" w:rsidRPr="008F486E" w:rsidRDefault="00B4283D" w:rsidP="008F486E">
      <w:pPr>
        <w:spacing w:line="360" w:lineRule="auto"/>
        <w:jc w:val="center"/>
        <w:rPr>
          <w:rFonts w:ascii="Arial" w:hAnsi="Arial" w:cs="Arial"/>
          <w:b/>
          <w:i/>
          <w:sz w:val="24"/>
          <w:szCs w:val="24"/>
        </w:rPr>
      </w:pPr>
      <w:r w:rsidRPr="008F486E">
        <w:rPr>
          <w:rFonts w:ascii="Arial" w:hAnsi="Arial" w:cs="Arial"/>
          <w:b/>
          <w:i/>
          <w:sz w:val="24"/>
          <w:szCs w:val="24"/>
        </w:rPr>
        <w:t>Do</w:t>
      </w:r>
      <w:r w:rsidR="00320583" w:rsidRPr="008F486E">
        <w:rPr>
          <w:rFonts w:ascii="Arial" w:hAnsi="Arial" w:cs="Arial"/>
          <w:b/>
          <w:i/>
          <w:sz w:val="24"/>
          <w:szCs w:val="24"/>
        </w:rPr>
        <w:t>cumentación</w:t>
      </w:r>
      <w:r w:rsidR="00F15A9D" w:rsidRPr="008F486E">
        <w:rPr>
          <w:rFonts w:ascii="Arial" w:hAnsi="Arial" w:cs="Arial"/>
          <w:b/>
          <w:i/>
          <w:sz w:val="24"/>
          <w:szCs w:val="24"/>
        </w:rPr>
        <w:t xml:space="preserve"> de las Naciones Unidas</w:t>
      </w:r>
    </w:p>
    <w:p w:rsidR="00977BB8" w:rsidRPr="008F486E" w:rsidRDefault="00DE454B" w:rsidP="008F486E">
      <w:pPr>
        <w:spacing w:line="360" w:lineRule="auto"/>
        <w:jc w:val="both"/>
        <w:rPr>
          <w:rFonts w:ascii="Arial" w:hAnsi="Arial" w:cs="Arial"/>
          <w:i/>
          <w:sz w:val="24"/>
          <w:szCs w:val="24"/>
        </w:rPr>
      </w:pPr>
      <w:r w:rsidRPr="008F486E">
        <w:rPr>
          <w:rFonts w:ascii="Arial" w:hAnsi="Arial" w:cs="Arial"/>
          <w:sz w:val="24"/>
          <w:szCs w:val="24"/>
        </w:rPr>
        <w:t>A/57/724, de 6 de febrero de 2003, Quincuagésimo séptimo período de sesiones, Tema 66 del program</w:t>
      </w:r>
      <w:r w:rsidR="00E72D78" w:rsidRPr="008F486E">
        <w:rPr>
          <w:rFonts w:ascii="Arial" w:hAnsi="Arial" w:cs="Arial"/>
          <w:sz w:val="24"/>
          <w:szCs w:val="24"/>
        </w:rPr>
        <w:t xml:space="preserve">a, Desarme general y completo, </w:t>
      </w:r>
      <w:r w:rsidRPr="008F486E">
        <w:rPr>
          <w:rFonts w:ascii="Arial" w:hAnsi="Arial" w:cs="Arial"/>
          <w:i/>
          <w:sz w:val="24"/>
          <w:szCs w:val="24"/>
        </w:rPr>
        <w:t>Carta de fecha 30 de enero de 2003 dirigida al Secretario General por el Representante Permanente de los Países Bajos ante las Naciones Unidas. ANEXO</w:t>
      </w:r>
      <w:r w:rsidR="008F758F" w:rsidRPr="008F486E">
        <w:rPr>
          <w:rFonts w:ascii="Arial" w:hAnsi="Arial" w:cs="Arial"/>
          <w:i/>
          <w:sz w:val="24"/>
          <w:szCs w:val="24"/>
        </w:rPr>
        <w:t>.</w:t>
      </w:r>
      <w:r w:rsidRPr="008F486E">
        <w:rPr>
          <w:rFonts w:ascii="Arial" w:hAnsi="Arial" w:cs="Arial"/>
          <w:i/>
          <w:sz w:val="24"/>
          <w:szCs w:val="24"/>
        </w:rPr>
        <w:t xml:space="preserve"> ”Código Internacional de Conducta contra la Proliferación de los Misiles Balísticos”.</w:t>
      </w:r>
    </w:p>
    <w:p w:rsidR="00577950" w:rsidRPr="008F486E" w:rsidRDefault="00577950" w:rsidP="008F486E">
      <w:pPr>
        <w:spacing w:line="360" w:lineRule="auto"/>
        <w:jc w:val="both"/>
        <w:rPr>
          <w:rFonts w:ascii="Arial" w:hAnsi="Arial" w:cs="Arial"/>
          <w:i/>
          <w:sz w:val="24"/>
          <w:szCs w:val="24"/>
        </w:rPr>
      </w:pPr>
      <w:r w:rsidRPr="008F486E">
        <w:rPr>
          <w:rFonts w:ascii="Arial" w:hAnsi="Arial" w:cs="Arial"/>
          <w:sz w:val="24"/>
          <w:szCs w:val="24"/>
        </w:rPr>
        <w:t>A/AC.105/890, de 6 de marzo de 2007, COPUOS, 50º período de sesiones, V</w:t>
      </w:r>
      <w:r w:rsidR="00E72D78" w:rsidRPr="008F486E">
        <w:rPr>
          <w:rFonts w:ascii="Arial" w:hAnsi="Arial" w:cs="Arial"/>
          <w:sz w:val="24"/>
          <w:szCs w:val="24"/>
        </w:rPr>
        <w:t xml:space="preserve">iena, 6 a 15 de junio de 2007, </w:t>
      </w:r>
      <w:r w:rsidRPr="008F486E">
        <w:rPr>
          <w:rFonts w:ascii="Arial" w:hAnsi="Arial" w:cs="Arial"/>
          <w:sz w:val="24"/>
          <w:szCs w:val="24"/>
        </w:rPr>
        <w:t xml:space="preserve">Informe de la Subcomisión de Asuntos </w:t>
      </w:r>
      <w:r w:rsidRPr="008F486E">
        <w:rPr>
          <w:rFonts w:ascii="Arial" w:hAnsi="Arial" w:cs="Arial"/>
          <w:sz w:val="24"/>
          <w:szCs w:val="24"/>
        </w:rPr>
        <w:lastRenderedPageBreak/>
        <w:t>Científicos y Técnicos sobre su 44 período de sesiones, celebrado en Viena del 12 al 2</w:t>
      </w:r>
      <w:r w:rsidR="00E72D78" w:rsidRPr="008F486E">
        <w:rPr>
          <w:rFonts w:ascii="Arial" w:hAnsi="Arial" w:cs="Arial"/>
          <w:sz w:val="24"/>
          <w:szCs w:val="24"/>
        </w:rPr>
        <w:t xml:space="preserve">3 de febrero de 2007, </w:t>
      </w:r>
      <w:r w:rsidR="00E72D78" w:rsidRPr="008F486E">
        <w:rPr>
          <w:rFonts w:ascii="Arial" w:hAnsi="Arial" w:cs="Arial"/>
          <w:i/>
          <w:sz w:val="24"/>
          <w:szCs w:val="24"/>
        </w:rPr>
        <w:t xml:space="preserve">Anexo IV </w:t>
      </w:r>
      <w:r w:rsidRPr="008F486E">
        <w:rPr>
          <w:rFonts w:ascii="Arial" w:hAnsi="Arial" w:cs="Arial"/>
          <w:i/>
          <w:sz w:val="24"/>
          <w:szCs w:val="24"/>
        </w:rPr>
        <w:t>Directrices para la Reducción de los Desechos Espaciales elaboradas por la Subcomisión de Asuntos Científicos y Técnicos de la Comisión sobre Utilización Pacífica del Espacio Ultr</w:t>
      </w:r>
      <w:r w:rsidR="00E72D78" w:rsidRPr="008F486E">
        <w:rPr>
          <w:rFonts w:ascii="Arial" w:hAnsi="Arial" w:cs="Arial"/>
          <w:i/>
          <w:sz w:val="24"/>
          <w:szCs w:val="24"/>
        </w:rPr>
        <w:t>aterrestre con Fines Pacíficos</w:t>
      </w:r>
      <w:r w:rsidRPr="008F486E">
        <w:rPr>
          <w:rFonts w:ascii="Arial" w:hAnsi="Arial" w:cs="Arial"/>
          <w:i/>
          <w:sz w:val="24"/>
          <w:szCs w:val="24"/>
        </w:rPr>
        <w:t>.</w:t>
      </w:r>
    </w:p>
    <w:p w:rsidR="00977BB8" w:rsidRPr="008F486E" w:rsidRDefault="00977BB8" w:rsidP="008F486E">
      <w:pPr>
        <w:spacing w:line="360" w:lineRule="auto"/>
        <w:jc w:val="both"/>
        <w:rPr>
          <w:rFonts w:ascii="Arial" w:hAnsi="Arial" w:cs="Arial"/>
          <w:i/>
          <w:sz w:val="24"/>
          <w:szCs w:val="24"/>
        </w:rPr>
      </w:pPr>
      <w:r w:rsidRPr="008F486E">
        <w:rPr>
          <w:rFonts w:ascii="Arial" w:hAnsi="Arial" w:cs="Arial"/>
          <w:sz w:val="24"/>
          <w:szCs w:val="24"/>
        </w:rPr>
        <w:t xml:space="preserve">A/AC.105/1063, 14 abril 2014, COPUOS, 57 periodo de sesiones, Viena, 11 a 20 de junio de 2014, </w:t>
      </w:r>
      <w:r w:rsidRPr="008F486E">
        <w:rPr>
          <w:rFonts w:ascii="Arial" w:hAnsi="Arial" w:cs="Arial"/>
          <w:i/>
          <w:sz w:val="24"/>
          <w:szCs w:val="24"/>
        </w:rPr>
        <w:t>Coordinación de las actividades relativas al espacio ultraterrestre en el sistema de las Naciones Unidas: orientaciones y resultados previstos para el período 2014-2015 teniendo en cuenta la Agenda para el desarrollo después de 2015 (Informe del Secretario General).</w:t>
      </w:r>
    </w:p>
    <w:p w:rsidR="00977BB8" w:rsidRPr="008F486E" w:rsidRDefault="00977BB8" w:rsidP="008F486E">
      <w:pPr>
        <w:spacing w:line="360" w:lineRule="auto"/>
        <w:jc w:val="both"/>
        <w:rPr>
          <w:rFonts w:ascii="Arial" w:hAnsi="Arial" w:cs="Arial"/>
          <w:sz w:val="24"/>
          <w:szCs w:val="24"/>
        </w:rPr>
      </w:pPr>
      <w:r w:rsidRPr="008F486E">
        <w:rPr>
          <w:rFonts w:ascii="Arial" w:hAnsi="Arial" w:cs="Arial"/>
          <w:sz w:val="24"/>
          <w:szCs w:val="24"/>
        </w:rPr>
        <w:t xml:space="preserve">A/AC.105/1064, de 23 de mayo de 2014, COPUOS, </w:t>
      </w:r>
      <w:r w:rsidRPr="008F486E">
        <w:rPr>
          <w:rFonts w:ascii="Arial" w:hAnsi="Arial" w:cs="Arial"/>
          <w:i/>
          <w:sz w:val="24"/>
          <w:szCs w:val="24"/>
        </w:rPr>
        <w:t>Informe de la Reunión Interinstitucional sobre las actividades relativas al espacio ultraterrestre acerca de su 34º período de sesiones, Nueva York, 13 y 14 de mayo de 2014</w:t>
      </w:r>
      <w:r w:rsidRPr="008F486E">
        <w:rPr>
          <w:rFonts w:ascii="Arial" w:hAnsi="Arial" w:cs="Arial"/>
          <w:sz w:val="24"/>
          <w:szCs w:val="24"/>
        </w:rPr>
        <w:t>.</w:t>
      </w:r>
    </w:p>
    <w:p w:rsidR="00D7465F" w:rsidRPr="008F486E" w:rsidRDefault="00D7465F" w:rsidP="008F486E">
      <w:pPr>
        <w:spacing w:line="360" w:lineRule="auto"/>
        <w:jc w:val="both"/>
        <w:rPr>
          <w:rFonts w:ascii="Arial" w:hAnsi="Arial" w:cs="Arial"/>
          <w:sz w:val="24"/>
          <w:szCs w:val="24"/>
        </w:rPr>
      </w:pPr>
      <w:r w:rsidRPr="008F486E">
        <w:rPr>
          <w:rFonts w:ascii="Arial" w:hAnsi="Arial" w:cs="Arial"/>
          <w:sz w:val="24"/>
          <w:szCs w:val="24"/>
        </w:rPr>
        <w:t>A/AC.105/1065, de 4 de marzo de 2014, COPUOS, 57º Período de sesiones, Vi</w:t>
      </w:r>
      <w:r w:rsidR="00E72D78" w:rsidRPr="008F486E">
        <w:rPr>
          <w:rFonts w:ascii="Arial" w:hAnsi="Arial" w:cs="Arial"/>
          <w:sz w:val="24"/>
          <w:szCs w:val="24"/>
        </w:rPr>
        <w:t xml:space="preserve">ena, 11 a 20 de junio de 2014, </w:t>
      </w:r>
      <w:r w:rsidRPr="008F486E">
        <w:rPr>
          <w:rFonts w:ascii="Arial" w:hAnsi="Arial" w:cs="Arial"/>
          <w:sz w:val="24"/>
          <w:szCs w:val="24"/>
        </w:rPr>
        <w:t>Informe de la Subcomisión de Asuntos Científicos y Técnicos sobre su 51º período de sesiones, celebrado en Viena del 10 al 21</w:t>
      </w:r>
      <w:r w:rsidR="00E72D78" w:rsidRPr="008F486E">
        <w:rPr>
          <w:rFonts w:ascii="Arial" w:hAnsi="Arial" w:cs="Arial"/>
          <w:sz w:val="24"/>
          <w:szCs w:val="24"/>
        </w:rPr>
        <w:t xml:space="preserve"> de febrero de 2014, punto III </w:t>
      </w:r>
      <w:r w:rsidRPr="008F486E">
        <w:rPr>
          <w:rFonts w:ascii="Arial" w:hAnsi="Arial" w:cs="Arial"/>
          <w:i/>
          <w:sz w:val="24"/>
          <w:szCs w:val="24"/>
        </w:rPr>
        <w:t>La tecnología espacial al servicio del desarrollo socioeconómico, en el contexto de la Conferencia de las Naciones Unidas sobre el desarrollo sostenible y la agenda para el desarrollo después de 2015</w:t>
      </w:r>
      <w:r w:rsidRPr="008F486E">
        <w:rPr>
          <w:rFonts w:ascii="Arial" w:hAnsi="Arial" w:cs="Arial"/>
          <w:sz w:val="24"/>
          <w:szCs w:val="24"/>
        </w:rPr>
        <w:t>.</w:t>
      </w:r>
    </w:p>
    <w:p w:rsidR="00D7465F" w:rsidRPr="008F486E" w:rsidRDefault="00D7465F" w:rsidP="008F486E">
      <w:pPr>
        <w:spacing w:line="360" w:lineRule="auto"/>
        <w:jc w:val="both"/>
        <w:rPr>
          <w:rFonts w:ascii="Arial" w:hAnsi="Arial" w:cs="Arial"/>
          <w:sz w:val="24"/>
          <w:szCs w:val="24"/>
        </w:rPr>
      </w:pPr>
      <w:r w:rsidRPr="008F486E">
        <w:rPr>
          <w:rFonts w:ascii="Arial" w:hAnsi="Arial" w:cs="Arial"/>
          <w:sz w:val="24"/>
          <w:szCs w:val="24"/>
        </w:rPr>
        <w:t>A/AC.105/1091, de 30 de abril de 2015</w:t>
      </w:r>
      <w:r w:rsidR="00E72D78" w:rsidRPr="008F486E">
        <w:rPr>
          <w:rFonts w:ascii="Arial" w:hAnsi="Arial" w:cs="Arial"/>
          <w:sz w:val="24"/>
          <w:szCs w:val="24"/>
        </w:rPr>
        <w:t xml:space="preserve">, COPUOS, </w:t>
      </w:r>
      <w:r w:rsidRPr="008F486E">
        <w:rPr>
          <w:rFonts w:ascii="Arial" w:hAnsi="Arial" w:cs="Arial"/>
          <w:i/>
          <w:sz w:val="24"/>
          <w:szCs w:val="24"/>
        </w:rPr>
        <w:t xml:space="preserve">El espacio </w:t>
      </w:r>
      <w:r w:rsidR="007D39DE" w:rsidRPr="008F486E">
        <w:rPr>
          <w:rFonts w:ascii="Arial" w:hAnsi="Arial" w:cs="Arial"/>
          <w:i/>
          <w:sz w:val="24"/>
          <w:szCs w:val="24"/>
        </w:rPr>
        <w:t>al servicio de la salud mundial</w:t>
      </w:r>
      <w:r w:rsidRPr="008F486E">
        <w:rPr>
          <w:rFonts w:ascii="Arial" w:hAnsi="Arial" w:cs="Arial"/>
          <w:i/>
          <w:sz w:val="24"/>
          <w:szCs w:val="24"/>
        </w:rPr>
        <w:t>, Informe especial de la reunión Interinstitucional sobre las actividades relativas al espacio ultraterrestre acerca del uso de la ciencia y la tecnología espaciales en el sistema de las Naciones Unidas al servicio de la salud mundial</w:t>
      </w:r>
      <w:r w:rsidR="00E72D78" w:rsidRPr="008F486E">
        <w:rPr>
          <w:rFonts w:ascii="Arial" w:hAnsi="Arial" w:cs="Arial"/>
          <w:sz w:val="24"/>
          <w:szCs w:val="24"/>
        </w:rPr>
        <w:t>.</w:t>
      </w:r>
    </w:p>
    <w:p w:rsidR="00D6500E" w:rsidRPr="008F486E" w:rsidRDefault="00D6500E" w:rsidP="008F486E">
      <w:pPr>
        <w:spacing w:line="360" w:lineRule="auto"/>
        <w:jc w:val="both"/>
        <w:rPr>
          <w:rFonts w:ascii="Arial" w:hAnsi="Arial" w:cs="Arial"/>
          <w:sz w:val="24"/>
          <w:szCs w:val="24"/>
        </w:rPr>
      </w:pPr>
      <w:r w:rsidRPr="008F486E">
        <w:rPr>
          <w:rFonts w:ascii="Arial" w:hAnsi="Arial" w:cs="Arial"/>
          <w:sz w:val="24"/>
          <w:szCs w:val="24"/>
        </w:rPr>
        <w:t xml:space="preserve">A/AC.105/1137, de 20 </w:t>
      </w:r>
      <w:r w:rsidR="009578D1" w:rsidRPr="008F486E">
        <w:rPr>
          <w:rFonts w:ascii="Arial" w:hAnsi="Arial" w:cs="Arial"/>
          <w:sz w:val="24"/>
          <w:szCs w:val="24"/>
        </w:rPr>
        <w:t xml:space="preserve">de septiembre de 2016, COPUOS, </w:t>
      </w:r>
      <w:r w:rsidRPr="008F486E">
        <w:rPr>
          <w:rFonts w:ascii="Arial" w:hAnsi="Arial" w:cs="Arial"/>
          <w:i/>
          <w:sz w:val="24"/>
          <w:szCs w:val="24"/>
        </w:rPr>
        <w:t>50º aniversario de la Conferencia de las Naciones Unidas sobre la Exploración y Utilización del Espacio Ultraterrestre con Fines Pacíficos: la Comisión sobre la Utilización del Espacio Ultraterrestre con Fines Pacíficos y la gobernanza global de las actividad</w:t>
      </w:r>
      <w:r w:rsidR="009578D1" w:rsidRPr="008F486E">
        <w:rPr>
          <w:rFonts w:ascii="Arial" w:hAnsi="Arial" w:cs="Arial"/>
          <w:i/>
          <w:sz w:val="24"/>
          <w:szCs w:val="24"/>
        </w:rPr>
        <w:t>es en el espacio ultraterrestre</w:t>
      </w:r>
      <w:r w:rsidRPr="008F486E">
        <w:rPr>
          <w:rFonts w:ascii="Arial" w:hAnsi="Arial" w:cs="Arial"/>
          <w:sz w:val="24"/>
          <w:szCs w:val="24"/>
        </w:rPr>
        <w:t xml:space="preserve">.   </w:t>
      </w:r>
    </w:p>
    <w:p w:rsidR="00977BB8" w:rsidRPr="008F486E" w:rsidRDefault="00977BB8" w:rsidP="008F486E">
      <w:pPr>
        <w:spacing w:line="360" w:lineRule="auto"/>
        <w:jc w:val="both"/>
        <w:rPr>
          <w:rFonts w:ascii="Arial" w:hAnsi="Arial" w:cs="Arial"/>
          <w:sz w:val="24"/>
          <w:szCs w:val="24"/>
        </w:rPr>
      </w:pPr>
      <w:r w:rsidRPr="008F486E">
        <w:rPr>
          <w:rFonts w:ascii="Arial" w:hAnsi="Arial" w:cs="Arial"/>
          <w:sz w:val="24"/>
          <w:szCs w:val="24"/>
        </w:rPr>
        <w:lastRenderedPageBreak/>
        <w:t xml:space="preserve">A/AC.105/1138, de 21 de febrero de 2017, COPUOS, 60º periodo de sesiones, </w:t>
      </w:r>
      <w:r w:rsidRPr="008F486E">
        <w:rPr>
          <w:rFonts w:ascii="Arial" w:hAnsi="Arial" w:cs="Arial"/>
          <w:i/>
          <w:sz w:val="24"/>
          <w:szCs w:val="24"/>
        </w:rPr>
        <w:t>Informe de la Subcomisión de Asuntos Científicos y Técnicos sobre su 54º período de sesiones, celebrado en Viena del 30 de enero al 10 de febrero de 2017</w:t>
      </w:r>
      <w:r w:rsidRPr="008F486E">
        <w:rPr>
          <w:rFonts w:ascii="Arial" w:hAnsi="Arial" w:cs="Arial"/>
          <w:sz w:val="24"/>
          <w:szCs w:val="24"/>
        </w:rPr>
        <w:t>.</w:t>
      </w:r>
    </w:p>
    <w:p w:rsidR="00977BB8" w:rsidRPr="008F486E" w:rsidRDefault="00977BB8" w:rsidP="008F486E">
      <w:pPr>
        <w:spacing w:line="360" w:lineRule="auto"/>
        <w:jc w:val="both"/>
        <w:rPr>
          <w:rFonts w:ascii="Arial" w:hAnsi="Arial" w:cs="Arial"/>
          <w:sz w:val="24"/>
          <w:szCs w:val="24"/>
        </w:rPr>
      </w:pPr>
      <w:r w:rsidRPr="008F486E">
        <w:rPr>
          <w:rFonts w:ascii="Arial" w:hAnsi="Arial" w:cs="Arial"/>
          <w:sz w:val="24"/>
          <w:szCs w:val="24"/>
        </w:rPr>
        <w:t xml:space="preserve">A/AC.105/1161, de 18 de septiembre de 2017, Comisión sobre la Utilización del Espacio Ultraterrestre con Fines Pacíficos, </w:t>
      </w:r>
      <w:r w:rsidRPr="008F486E">
        <w:rPr>
          <w:rFonts w:ascii="Arial" w:hAnsi="Arial" w:cs="Arial"/>
          <w:i/>
          <w:sz w:val="24"/>
          <w:szCs w:val="24"/>
        </w:rPr>
        <w:t>Informe sobre la Conferencia de las Naciones Unidas, la Organización Mundial de la Salud y Suiza sobre el Fortalecimiento de la Cooperación Espacial en pro de la Salud Mundial, (Ginebra, 23 a 25 de agosto de 2017).</w:t>
      </w:r>
    </w:p>
    <w:p w:rsidR="00977BB8" w:rsidRPr="008F486E" w:rsidRDefault="00977BB8" w:rsidP="008F486E">
      <w:pPr>
        <w:spacing w:line="360" w:lineRule="auto"/>
        <w:jc w:val="both"/>
        <w:rPr>
          <w:rFonts w:ascii="Arial" w:hAnsi="Arial" w:cs="Arial"/>
          <w:i/>
          <w:sz w:val="24"/>
          <w:szCs w:val="24"/>
        </w:rPr>
      </w:pPr>
      <w:r w:rsidRPr="008F486E">
        <w:rPr>
          <w:rFonts w:ascii="Arial" w:hAnsi="Arial" w:cs="Arial"/>
          <w:sz w:val="24"/>
          <w:szCs w:val="24"/>
        </w:rPr>
        <w:t xml:space="preserve">A/AC.105/C.1/L.260, de 29 de noviembre de 2002, </w:t>
      </w:r>
      <w:r w:rsidRPr="008F486E">
        <w:rPr>
          <w:rFonts w:ascii="Arial" w:hAnsi="Arial" w:cs="Arial"/>
          <w:i/>
          <w:sz w:val="24"/>
          <w:szCs w:val="24"/>
        </w:rPr>
        <w:t xml:space="preserve">COPUOS, </w:t>
      </w:r>
      <w:r w:rsidRPr="008F486E">
        <w:rPr>
          <w:rFonts w:ascii="Arial" w:hAnsi="Arial" w:cs="Arial"/>
          <w:sz w:val="24"/>
          <w:szCs w:val="24"/>
        </w:rPr>
        <w:t xml:space="preserve">Subcomisión de Asuntos Científicos y Técnicos, 40º período de sesiones, Viena, 17 a 28 de febrero de 2003, </w:t>
      </w:r>
      <w:r w:rsidRPr="008F486E">
        <w:rPr>
          <w:rFonts w:ascii="Arial" w:hAnsi="Arial" w:cs="Arial"/>
          <w:i/>
          <w:sz w:val="24"/>
          <w:szCs w:val="24"/>
        </w:rPr>
        <w:t>ANEXO</w:t>
      </w:r>
      <w:r w:rsidRPr="008F486E">
        <w:rPr>
          <w:rFonts w:ascii="Arial" w:hAnsi="Arial" w:cs="Arial"/>
          <w:sz w:val="24"/>
          <w:szCs w:val="24"/>
        </w:rPr>
        <w:t xml:space="preserve">. </w:t>
      </w:r>
      <w:r w:rsidRPr="008F486E">
        <w:rPr>
          <w:rFonts w:ascii="Arial" w:hAnsi="Arial" w:cs="Arial"/>
          <w:i/>
          <w:sz w:val="24"/>
          <w:szCs w:val="24"/>
        </w:rPr>
        <w:t>Directrices del Comité Interinstitucional de Coordinación en materia de Desechos Espaciales para la Reducción de los desechos Espaciales.</w:t>
      </w:r>
    </w:p>
    <w:p w:rsidR="00977BB8" w:rsidRPr="008F486E" w:rsidRDefault="00977BB8" w:rsidP="008F486E">
      <w:pPr>
        <w:spacing w:line="360" w:lineRule="auto"/>
        <w:jc w:val="both"/>
        <w:rPr>
          <w:rFonts w:ascii="Arial" w:hAnsi="Arial" w:cs="Arial"/>
          <w:sz w:val="24"/>
          <w:szCs w:val="24"/>
        </w:rPr>
      </w:pPr>
      <w:r w:rsidRPr="008F486E">
        <w:rPr>
          <w:rFonts w:ascii="Arial" w:hAnsi="Arial" w:cs="Arial"/>
          <w:sz w:val="24"/>
          <w:szCs w:val="24"/>
        </w:rPr>
        <w:t xml:space="preserve">A/AC.105/C.1/L.329, de 21 de diciembre de 2012, COPUOS, Subcomisión de Asuntos Científicos y Técnicos, 50º período de sesiones, </w:t>
      </w:r>
      <w:r w:rsidRPr="008F486E">
        <w:rPr>
          <w:rFonts w:ascii="Arial" w:hAnsi="Arial" w:cs="Arial"/>
          <w:i/>
          <w:sz w:val="24"/>
          <w:szCs w:val="24"/>
        </w:rPr>
        <w:t>Objetos cercanos a la Tierra, 2011-2012* Recomendaciones del Equipo de Acción sobre objetos cercanos a la Tierra para una respuesta internacional a la amenaza de impacto que plantean los objetos cercanos a la Tierra.</w:t>
      </w:r>
    </w:p>
    <w:p w:rsidR="00596D0F" w:rsidRPr="008F486E" w:rsidRDefault="00596D0F" w:rsidP="008F486E">
      <w:pPr>
        <w:spacing w:line="360" w:lineRule="auto"/>
        <w:jc w:val="both"/>
        <w:rPr>
          <w:rFonts w:ascii="Arial" w:hAnsi="Arial" w:cs="Arial"/>
          <w:sz w:val="24"/>
          <w:szCs w:val="24"/>
        </w:rPr>
      </w:pPr>
      <w:r w:rsidRPr="008F486E">
        <w:rPr>
          <w:rFonts w:ascii="Arial" w:hAnsi="Arial" w:cs="Arial"/>
          <w:sz w:val="24"/>
          <w:szCs w:val="24"/>
        </w:rPr>
        <w:t>A/AC.105/C.1/L.354/Rev.1, de 18 de octubre de 2016, COPUOS, Subcomisión de Asuntos Científicos y Técnicos, 54º período de sesiones. Viena, 30 de enero a 10 de febrero d</w:t>
      </w:r>
      <w:r w:rsidR="009578D1" w:rsidRPr="008F486E">
        <w:rPr>
          <w:rFonts w:ascii="Arial" w:hAnsi="Arial" w:cs="Arial"/>
          <w:sz w:val="24"/>
          <w:szCs w:val="24"/>
        </w:rPr>
        <w:t xml:space="preserve">e 2017, </w:t>
      </w:r>
      <w:r w:rsidRPr="008F486E">
        <w:rPr>
          <w:rFonts w:ascii="Arial" w:hAnsi="Arial" w:cs="Arial"/>
          <w:i/>
          <w:sz w:val="24"/>
          <w:szCs w:val="24"/>
        </w:rPr>
        <w:t>Directrices relativas a la sostenibilidad a largo plazo de las actividades en el espacio ultraterrestre</w:t>
      </w:r>
      <w:r w:rsidRPr="008F486E">
        <w:rPr>
          <w:rFonts w:ascii="Arial" w:hAnsi="Arial" w:cs="Arial"/>
          <w:sz w:val="24"/>
          <w:szCs w:val="24"/>
        </w:rPr>
        <w:t>.</w:t>
      </w:r>
    </w:p>
    <w:p w:rsidR="00977BB8" w:rsidRPr="008F486E" w:rsidRDefault="00977BB8" w:rsidP="008F486E">
      <w:pPr>
        <w:spacing w:line="360" w:lineRule="auto"/>
        <w:jc w:val="both"/>
        <w:rPr>
          <w:rFonts w:ascii="Arial" w:hAnsi="Arial" w:cs="Arial"/>
          <w:sz w:val="24"/>
          <w:szCs w:val="24"/>
        </w:rPr>
      </w:pPr>
      <w:r w:rsidRPr="008F486E">
        <w:rPr>
          <w:rFonts w:ascii="Arial" w:hAnsi="Arial" w:cs="Arial"/>
          <w:sz w:val="24"/>
          <w:szCs w:val="24"/>
        </w:rPr>
        <w:t xml:space="preserve">A/AC.105/C.2/L.283, de 9 de marzo de 2011, COPUOS, Subcomisión de Asuntos Jurídicos, 50 periodo de sesiones, </w:t>
      </w:r>
      <w:r w:rsidRPr="008F486E">
        <w:rPr>
          <w:rFonts w:ascii="Arial" w:hAnsi="Arial" w:cs="Arial"/>
          <w:i/>
          <w:sz w:val="24"/>
          <w:szCs w:val="24"/>
        </w:rPr>
        <w:t>Examen de los aspectos jurídicos de las Directrices para la reducción de desechos espaciales de la Comisión sobre la Utilización del Espacio Ultraterrestre con Fines Pacíficos, a fin de transformar las Directrices en un conjunto de principios que habría de aprobar la Asamblea General.  Documento de trabajo presentado por la República Checa</w:t>
      </w:r>
      <w:r w:rsidRPr="008F486E">
        <w:rPr>
          <w:rFonts w:ascii="Arial" w:hAnsi="Arial" w:cs="Arial"/>
          <w:sz w:val="24"/>
          <w:szCs w:val="24"/>
        </w:rPr>
        <w:t>.</w:t>
      </w:r>
    </w:p>
    <w:p w:rsidR="00977BB8" w:rsidRPr="008F486E" w:rsidRDefault="00FC197C" w:rsidP="008F486E">
      <w:pPr>
        <w:spacing w:line="360" w:lineRule="auto"/>
        <w:jc w:val="both"/>
        <w:rPr>
          <w:rFonts w:ascii="Arial" w:hAnsi="Arial" w:cs="Arial"/>
          <w:sz w:val="24"/>
          <w:szCs w:val="24"/>
        </w:rPr>
      </w:pPr>
      <w:r w:rsidRPr="008F486E">
        <w:rPr>
          <w:rFonts w:ascii="Arial" w:hAnsi="Arial" w:cs="Arial"/>
          <w:sz w:val="24"/>
          <w:szCs w:val="24"/>
        </w:rPr>
        <w:lastRenderedPageBreak/>
        <w:t xml:space="preserve">A/AC.105/L.295, de 15 de abril de 2015, COPUOS, 58º periodo de sesiones, Viena, 10 a 19 de junio de 2015, </w:t>
      </w:r>
      <w:r w:rsidRPr="008F486E">
        <w:rPr>
          <w:rFonts w:ascii="Arial" w:hAnsi="Arial" w:cs="Arial"/>
          <w:i/>
          <w:sz w:val="24"/>
          <w:szCs w:val="24"/>
        </w:rPr>
        <w:t>Consideraciones sobre el modo de consolidar la comprensión de las cuestiones relativas a la mejora de la práctica del registro de objetos espaciales, dada la necesidad de velar por la seguridad de las operaciones espaciales.</w:t>
      </w:r>
    </w:p>
    <w:p w:rsidR="005F54DD" w:rsidRPr="008F486E" w:rsidRDefault="005F54DD" w:rsidP="008F486E">
      <w:pPr>
        <w:spacing w:line="360" w:lineRule="auto"/>
        <w:jc w:val="both"/>
        <w:rPr>
          <w:rFonts w:ascii="Arial" w:hAnsi="Arial" w:cs="Arial"/>
          <w:sz w:val="24"/>
          <w:szCs w:val="24"/>
        </w:rPr>
      </w:pPr>
      <w:r w:rsidRPr="008F486E">
        <w:rPr>
          <w:rFonts w:ascii="Arial" w:hAnsi="Arial" w:cs="Arial"/>
          <w:sz w:val="24"/>
          <w:szCs w:val="24"/>
        </w:rPr>
        <w:t>A/RES/3</w:t>
      </w:r>
      <w:r w:rsidR="009578D1" w:rsidRPr="008F486E">
        <w:rPr>
          <w:rFonts w:ascii="Arial" w:hAnsi="Arial" w:cs="Arial"/>
          <w:sz w:val="24"/>
          <w:szCs w:val="24"/>
        </w:rPr>
        <w:t xml:space="preserve">7/7, de 28 de octubre de 1982. </w:t>
      </w:r>
      <w:r w:rsidR="009578D1" w:rsidRPr="008F486E">
        <w:rPr>
          <w:rFonts w:ascii="Arial" w:hAnsi="Arial" w:cs="Arial"/>
          <w:i/>
          <w:sz w:val="24"/>
          <w:szCs w:val="24"/>
        </w:rPr>
        <w:t>Carta Mundial de la Naturaleza</w:t>
      </w:r>
      <w:r w:rsidRPr="008F486E">
        <w:rPr>
          <w:rFonts w:ascii="Arial" w:hAnsi="Arial" w:cs="Arial"/>
          <w:sz w:val="24"/>
          <w:szCs w:val="24"/>
        </w:rPr>
        <w:t>, 48ª sesión plenaria, de 28 de octubre de 1982.</w:t>
      </w:r>
    </w:p>
    <w:p w:rsidR="00D7465F" w:rsidRPr="008F486E" w:rsidRDefault="0018658F" w:rsidP="008F486E">
      <w:pPr>
        <w:spacing w:line="360" w:lineRule="auto"/>
        <w:jc w:val="both"/>
        <w:rPr>
          <w:rFonts w:ascii="Arial" w:hAnsi="Arial" w:cs="Arial"/>
          <w:sz w:val="24"/>
          <w:szCs w:val="24"/>
        </w:rPr>
      </w:pPr>
      <w:r w:rsidRPr="008F486E">
        <w:rPr>
          <w:rFonts w:ascii="Arial" w:hAnsi="Arial" w:cs="Arial"/>
          <w:sz w:val="24"/>
          <w:szCs w:val="24"/>
        </w:rPr>
        <w:t>A/RES/6</w:t>
      </w:r>
      <w:r w:rsidR="009578D1" w:rsidRPr="008F486E">
        <w:rPr>
          <w:rFonts w:ascii="Arial" w:hAnsi="Arial" w:cs="Arial"/>
          <w:sz w:val="24"/>
          <w:szCs w:val="24"/>
        </w:rPr>
        <w:t xml:space="preserve">9/283, de 23 de junio de 2015, </w:t>
      </w:r>
      <w:r w:rsidRPr="008F486E">
        <w:rPr>
          <w:rFonts w:ascii="Arial" w:hAnsi="Arial" w:cs="Arial"/>
          <w:i/>
          <w:sz w:val="24"/>
          <w:szCs w:val="24"/>
        </w:rPr>
        <w:t>Marco de Sendai para la Reducción de</w:t>
      </w:r>
      <w:r w:rsidR="009578D1" w:rsidRPr="008F486E">
        <w:rPr>
          <w:rFonts w:ascii="Arial" w:hAnsi="Arial" w:cs="Arial"/>
          <w:i/>
          <w:sz w:val="24"/>
          <w:szCs w:val="24"/>
        </w:rPr>
        <w:t>l Riesgo de Desastres 2015-2030</w:t>
      </w:r>
      <w:r w:rsidRPr="008F486E">
        <w:rPr>
          <w:rFonts w:ascii="Arial" w:hAnsi="Arial" w:cs="Arial"/>
          <w:sz w:val="24"/>
          <w:szCs w:val="24"/>
        </w:rPr>
        <w:t>, 92ª sesión plenaria de 3 de junio de 2015.</w:t>
      </w:r>
    </w:p>
    <w:p w:rsidR="000848C2" w:rsidRPr="008F486E" w:rsidRDefault="00B4283D" w:rsidP="008F486E">
      <w:pPr>
        <w:spacing w:line="360" w:lineRule="auto"/>
        <w:jc w:val="both"/>
        <w:rPr>
          <w:rFonts w:ascii="Arial" w:hAnsi="Arial" w:cs="Arial"/>
          <w:sz w:val="24"/>
          <w:szCs w:val="24"/>
        </w:rPr>
      </w:pPr>
      <w:r w:rsidRPr="008F486E">
        <w:rPr>
          <w:rFonts w:ascii="Arial" w:hAnsi="Arial" w:cs="Arial"/>
          <w:sz w:val="24"/>
          <w:szCs w:val="24"/>
        </w:rPr>
        <w:t>A/RES/70/1, de 21 de octubre de 2015, Septuagésimo período de sesion</w:t>
      </w:r>
      <w:r w:rsidR="009578D1" w:rsidRPr="008F486E">
        <w:rPr>
          <w:rFonts w:ascii="Arial" w:hAnsi="Arial" w:cs="Arial"/>
          <w:sz w:val="24"/>
          <w:szCs w:val="24"/>
        </w:rPr>
        <w:t xml:space="preserve">es, </w:t>
      </w:r>
      <w:r w:rsidRPr="008F486E">
        <w:rPr>
          <w:rFonts w:ascii="Arial" w:hAnsi="Arial" w:cs="Arial"/>
          <w:i/>
          <w:sz w:val="24"/>
          <w:szCs w:val="24"/>
        </w:rPr>
        <w:t>Transformar nuestro mundo: la Agenda 2030 para el Desarrollo Sostenible</w:t>
      </w:r>
      <w:r w:rsidRPr="008F486E">
        <w:rPr>
          <w:rFonts w:ascii="Arial" w:hAnsi="Arial" w:cs="Arial"/>
          <w:sz w:val="24"/>
          <w:szCs w:val="24"/>
        </w:rPr>
        <w:t>, 4ª sesión plenaria de 25 de septi</w:t>
      </w:r>
      <w:r w:rsidR="009578D1" w:rsidRPr="008F486E">
        <w:rPr>
          <w:rFonts w:ascii="Arial" w:hAnsi="Arial" w:cs="Arial"/>
          <w:sz w:val="24"/>
          <w:szCs w:val="24"/>
        </w:rPr>
        <w:t>embre de 2015.</w:t>
      </w:r>
    </w:p>
    <w:p w:rsidR="00B4283D" w:rsidRPr="008F486E" w:rsidRDefault="00577950" w:rsidP="008F486E">
      <w:pPr>
        <w:spacing w:line="360" w:lineRule="auto"/>
        <w:jc w:val="both"/>
        <w:rPr>
          <w:rFonts w:ascii="Arial" w:hAnsi="Arial" w:cs="Arial"/>
          <w:sz w:val="24"/>
          <w:szCs w:val="24"/>
        </w:rPr>
      </w:pPr>
      <w:r w:rsidRPr="008F486E">
        <w:rPr>
          <w:rFonts w:ascii="Arial" w:hAnsi="Arial" w:cs="Arial"/>
          <w:sz w:val="24"/>
          <w:szCs w:val="24"/>
        </w:rPr>
        <w:t>A/RES/72/77, de 14 de diciembre de 2017, Resolución aprobada por la Asamblea Gen</w:t>
      </w:r>
      <w:r w:rsidR="009578D1" w:rsidRPr="008F486E">
        <w:rPr>
          <w:rFonts w:ascii="Arial" w:hAnsi="Arial" w:cs="Arial"/>
          <w:sz w:val="24"/>
          <w:szCs w:val="24"/>
        </w:rPr>
        <w:t xml:space="preserve">eral el 7 de diciembre de 2017, </w:t>
      </w:r>
      <w:r w:rsidRPr="008F486E">
        <w:rPr>
          <w:rFonts w:ascii="Arial" w:hAnsi="Arial" w:cs="Arial"/>
          <w:i/>
          <w:sz w:val="24"/>
          <w:szCs w:val="24"/>
        </w:rPr>
        <w:t>Cooperación internacional para la utilización del espacio ult</w:t>
      </w:r>
      <w:r w:rsidR="009578D1" w:rsidRPr="008F486E">
        <w:rPr>
          <w:rFonts w:ascii="Arial" w:hAnsi="Arial" w:cs="Arial"/>
          <w:i/>
          <w:sz w:val="24"/>
          <w:szCs w:val="24"/>
        </w:rPr>
        <w:t>raterrestre con fines pacíficos</w:t>
      </w:r>
      <w:r w:rsidRPr="008F486E">
        <w:rPr>
          <w:rFonts w:ascii="Arial" w:hAnsi="Arial" w:cs="Arial"/>
          <w:i/>
          <w:sz w:val="24"/>
          <w:szCs w:val="24"/>
        </w:rPr>
        <w:t>.</w:t>
      </w:r>
    </w:p>
    <w:p w:rsidR="00B4283D" w:rsidRPr="008F486E" w:rsidRDefault="00B4283D" w:rsidP="008F486E">
      <w:pPr>
        <w:spacing w:line="360" w:lineRule="auto"/>
        <w:jc w:val="both"/>
        <w:rPr>
          <w:rFonts w:ascii="Arial" w:hAnsi="Arial" w:cs="Arial"/>
          <w:sz w:val="24"/>
          <w:szCs w:val="24"/>
        </w:rPr>
      </w:pPr>
      <w:r w:rsidRPr="008F486E">
        <w:rPr>
          <w:rFonts w:ascii="Arial" w:hAnsi="Arial" w:cs="Arial"/>
          <w:i/>
          <w:sz w:val="24"/>
          <w:szCs w:val="24"/>
        </w:rPr>
        <w:t>C</w:t>
      </w:r>
      <w:r w:rsidR="009D3F53" w:rsidRPr="008F486E">
        <w:rPr>
          <w:rFonts w:ascii="Arial" w:hAnsi="Arial" w:cs="Arial"/>
          <w:i/>
          <w:sz w:val="24"/>
          <w:szCs w:val="24"/>
        </w:rPr>
        <w:t>.</w:t>
      </w:r>
      <w:r w:rsidRPr="008F486E">
        <w:rPr>
          <w:rFonts w:ascii="Arial" w:hAnsi="Arial" w:cs="Arial"/>
          <w:i/>
          <w:sz w:val="24"/>
          <w:szCs w:val="24"/>
        </w:rPr>
        <w:t>E</w:t>
      </w:r>
      <w:r w:rsidR="009D3F53" w:rsidRPr="008F486E">
        <w:rPr>
          <w:rFonts w:ascii="Arial" w:hAnsi="Arial" w:cs="Arial"/>
          <w:i/>
          <w:sz w:val="24"/>
          <w:szCs w:val="24"/>
        </w:rPr>
        <w:t>.</w:t>
      </w:r>
      <w:r w:rsidRPr="008F486E">
        <w:rPr>
          <w:rFonts w:ascii="Arial" w:hAnsi="Arial" w:cs="Arial"/>
          <w:i/>
          <w:sz w:val="24"/>
          <w:szCs w:val="24"/>
        </w:rPr>
        <w:t>S</w:t>
      </w:r>
      <w:r w:rsidR="009D3F53" w:rsidRPr="008F486E">
        <w:rPr>
          <w:rFonts w:ascii="Arial" w:hAnsi="Arial" w:cs="Arial"/>
          <w:i/>
          <w:sz w:val="24"/>
          <w:szCs w:val="24"/>
        </w:rPr>
        <w:t>.</w:t>
      </w:r>
      <w:r w:rsidRPr="008F486E">
        <w:rPr>
          <w:rFonts w:ascii="Arial" w:hAnsi="Arial" w:cs="Arial"/>
          <w:i/>
          <w:sz w:val="24"/>
          <w:szCs w:val="24"/>
        </w:rPr>
        <w:t>N</w:t>
      </w:r>
      <w:r w:rsidR="009D3F53" w:rsidRPr="008F486E">
        <w:rPr>
          <w:rFonts w:ascii="Arial" w:hAnsi="Arial" w:cs="Arial"/>
          <w:i/>
          <w:sz w:val="24"/>
          <w:szCs w:val="24"/>
        </w:rPr>
        <w:t>.</w:t>
      </w:r>
      <w:r w:rsidRPr="008F486E">
        <w:rPr>
          <w:rFonts w:ascii="Arial" w:hAnsi="Arial" w:cs="Arial"/>
          <w:i/>
          <w:sz w:val="24"/>
          <w:szCs w:val="24"/>
        </w:rPr>
        <w:t>U</w:t>
      </w:r>
      <w:r w:rsidR="009D3F53" w:rsidRPr="008F486E">
        <w:rPr>
          <w:rFonts w:ascii="Arial" w:hAnsi="Arial" w:cs="Arial"/>
          <w:sz w:val="24"/>
          <w:szCs w:val="24"/>
        </w:rPr>
        <w:t>.</w:t>
      </w:r>
      <w:r w:rsidRPr="008F486E">
        <w:rPr>
          <w:rFonts w:ascii="Arial" w:hAnsi="Arial" w:cs="Arial"/>
          <w:sz w:val="24"/>
          <w:szCs w:val="24"/>
        </w:rPr>
        <w:t xml:space="preserve"> E/RES/201</w:t>
      </w:r>
      <w:r w:rsidR="009578D1" w:rsidRPr="008F486E">
        <w:rPr>
          <w:rFonts w:ascii="Arial" w:hAnsi="Arial" w:cs="Arial"/>
          <w:sz w:val="24"/>
          <w:szCs w:val="24"/>
        </w:rPr>
        <w:t xml:space="preserve">6/27, de 15 de agosto de 2016, </w:t>
      </w:r>
      <w:r w:rsidRPr="008F486E">
        <w:rPr>
          <w:rFonts w:ascii="Arial" w:hAnsi="Arial" w:cs="Arial"/>
          <w:i/>
          <w:sz w:val="24"/>
          <w:szCs w:val="24"/>
        </w:rPr>
        <w:t xml:space="preserve">Resolución aprobada por el Consejo Económico </w:t>
      </w:r>
      <w:r w:rsidR="009578D1" w:rsidRPr="008F486E">
        <w:rPr>
          <w:rFonts w:ascii="Arial" w:hAnsi="Arial" w:cs="Arial"/>
          <w:i/>
          <w:sz w:val="24"/>
          <w:szCs w:val="24"/>
        </w:rPr>
        <w:t>y Social el 27 de julio de 2016</w:t>
      </w:r>
      <w:r w:rsidRPr="008F486E">
        <w:rPr>
          <w:rFonts w:ascii="Arial" w:hAnsi="Arial" w:cs="Arial"/>
          <w:sz w:val="24"/>
          <w:szCs w:val="24"/>
        </w:rPr>
        <w:t>, 48ª sesión plenaria, 27 de julio de 2016.</w:t>
      </w:r>
    </w:p>
    <w:p w:rsidR="00B4283D" w:rsidRPr="008F486E" w:rsidRDefault="009D3F53" w:rsidP="008F486E">
      <w:pPr>
        <w:spacing w:line="360" w:lineRule="auto"/>
        <w:jc w:val="both"/>
        <w:rPr>
          <w:rFonts w:ascii="Arial" w:hAnsi="Arial" w:cs="Arial"/>
          <w:i/>
          <w:sz w:val="24"/>
          <w:szCs w:val="24"/>
        </w:rPr>
      </w:pPr>
      <w:r w:rsidRPr="008F486E">
        <w:rPr>
          <w:rFonts w:ascii="Arial" w:hAnsi="Arial" w:cs="Arial"/>
          <w:i/>
          <w:sz w:val="24"/>
          <w:szCs w:val="24"/>
        </w:rPr>
        <w:t>C.E.S.N.U</w:t>
      </w:r>
      <w:r w:rsidRPr="008F486E">
        <w:rPr>
          <w:rFonts w:ascii="Arial" w:hAnsi="Arial" w:cs="Arial"/>
          <w:sz w:val="24"/>
          <w:szCs w:val="24"/>
        </w:rPr>
        <w:t>. E/2017/L.29–E/HLPF/2017</w:t>
      </w:r>
      <w:r w:rsidR="009578D1" w:rsidRPr="008F486E">
        <w:rPr>
          <w:rFonts w:ascii="Arial" w:hAnsi="Arial" w:cs="Arial"/>
          <w:sz w:val="24"/>
          <w:szCs w:val="24"/>
        </w:rPr>
        <w:t xml:space="preserve">/L.2, de 14 de octubre de 2017, </w:t>
      </w:r>
      <w:r w:rsidRPr="008F486E">
        <w:rPr>
          <w:rFonts w:ascii="Arial" w:hAnsi="Arial" w:cs="Arial"/>
          <w:sz w:val="24"/>
          <w:szCs w:val="24"/>
        </w:rPr>
        <w:t>Declaración ministerial de la serie de sesiones de alto nivel del período de sesiones de 2017 del Consejo Económic</w:t>
      </w:r>
      <w:r w:rsidR="009578D1" w:rsidRPr="008F486E">
        <w:rPr>
          <w:rFonts w:ascii="Arial" w:hAnsi="Arial" w:cs="Arial"/>
          <w:sz w:val="24"/>
          <w:szCs w:val="24"/>
        </w:rPr>
        <w:t xml:space="preserve">o y Social sobre el tema anual </w:t>
      </w:r>
      <w:r w:rsidRPr="008F486E">
        <w:rPr>
          <w:rFonts w:ascii="Arial" w:hAnsi="Arial" w:cs="Arial"/>
          <w:i/>
          <w:sz w:val="24"/>
          <w:szCs w:val="24"/>
        </w:rPr>
        <w:t>Erradicar la pobreza en todas sus formas</w:t>
      </w:r>
      <w:r w:rsidRPr="008F486E">
        <w:rPr>
          <w:rFonts w:ascii="Arial" w:hAnsi="Arial" w:cs="Arial"/>
          <w:sz w:val="24"/>
          <w:szCs w:val="24"/>
        </w:rPr>
        <w:t xml:space="preserve"> </w:t>
      </w:r>
      <w:r w:rsidRPr="008F486E">
        <w:rPr>
          <w:rFonts w:ascii="Arial" w:hAnsi="Arial" w:cs="Arial"/>
          <w:i/>
          <w:sz w:val="24"/>
          <w:szCs w:val="24"/>
        </w:rPr>
        <w:t>y dimensiones mediante la promoción del desarrollo sostenible, la ampliación de las oportunidades y la r</w:t>
      </w:r>
      <w:r w:rsidR="009578D1" w:rsidRPr="008F486E">
        <w:rPr>
          <w:rFonts w:ascii="Arial" w:hAnsi="Arial" w:cs="Arial"/>
          <w:i/>
          <w:sz w:val="24"/>
          <w:szCs w:val="24"/>
        </w:rPr>
        <w:t>espuesta a los desafíos conexos.</w:t>
      </w:r>
    </w:p>
    <w:p w:rsidR="00977BB8" w:rsidRPr="008F486E" w:rsidRDefault="00977BB8" w:rsidP="008F486E">
      <w:pPr>
        <w:spacing w:line="360" w:lineRule="auto"/>
        <w:jc w:val="both"/>
        <w:rPr>
          <w:rFonts w:ascii="Arial" w:hAnsi="Arial" w:cs="Arial"/>
          <w:i/>
          <w:sz w:val="24"/>
          <w:szCs w:val="24"/>
          <w:lang w:val="en-US"/>
        </w:rPr>
      </w:pPr>
      <w:r w:rsidRPr="008F486E">
        <w:rPr>
          <w:rFonts w:ascii="Arial" w:hAnsi="Arial" w:cs="Arial"/>
          <w:i/>
          <w:sz w:val="24"/>
          <w:szCs w:val="24"/>
          <w:lang w:val="en-US"/>
        </w:rPr>
        <w:t>I.A.M</w:t>
      </w:r>
      <w:r w:rsidRPr="008F486E">
        <w:rPr>
          <w:rFonts w:ascii="Arial" w:hAnsi="Arial" w:cs="Arial"/>
          <w:sz w:val="24"/>
          <w:szCs w:val="24"/>
          <w:lang w:val="en-US"/>
        </w:rPr>
        <w:t xml:space="preserve">/.2013/CRP.6, United Nations Inter-Agency Meeting on Outer Space Activities, Thirty third Session, 12-14 March 2013, </w:t>
      </w:r>
      <w:proofErr w:type="spellStart"/>
      <w:r w:rsidRPr="008F486E">
        <w:rPr>
          <w:rFonts w:ascii="Arial" w:hAnsi="Arial" w:cs="Arial"/>
          <w:sz w:val="24"/>
          <w:szCs w:val="24"/>
          <w:lang w:val="en-US"/>
        </w:rPr>
        <w:t>Geneve</w:t>
      </w:r>
      <w:proofErr w:type="spellEnd"/>
      <w:r w:rsidRPr="008F486E">
        <w:rPr>
          <w:rFonts w:ascii="Arial" w:hAnsi="Arial" w:cs="Arial"/>
          <w:sz w:val="24"/>
          <w:szCs w:val="24"/>
          <w:lang w:val="en-US"/>
        </w:rPr>
        <w:t xml:space="preserve">, Switzerland, </w:t>
      </w:r>
      <w:proofErr w:type="spellStart"/>
      <w:r w:rsidRPr="008F486E">
        <w:rPr>
          <w:rFonts w:ascii="Arial" w:hAnsi="Arial" w:cs="Arial"/>
          <w:i/>
          <w:sz w:val="24"/>
          <w:szCs w:val="24"/>
          <w:lang w:val="en-US"/>
        </w:rPr>
        <w:t>Istambul</w:t>
      </w:r>
      <w:proofErr w:type="spellEnd"/>
      <w:r w:rsidRPr="008F486E">
        <w:rPr>
          <w:rFonts w:ascii="Arial" w:hAnsi="Arial" w:cs="Arial"/>
          <w:i/>
          <w:sz w:val="24"/>
          <w:szCs w:val="24"/>
          <w:lang w:val="en-US"/>
        </w:rPr>
        <w:t xml:space="preserve"> Declaration</w:t>
      </w:r>
    </w:p>
    <w:p w:rsidR="00C21927" w:rsidRPr="008F486E" w:rsidRDefault="00133AAE" w:rsidP="008F486E">
      <w:pPr>
        <w:spacing w:line="360" w:lineRule="auto"/>
        <w:jc w:val="both"/>
        <w:rPr>
          <w:rFonts w:ascii="Arial" w:hAnsi="Arial" w:cs="Arial"/>
          <w:b/>
          <w:sz w:val="24"/>
          <w:szCs w:val="24"/>
          <w:lang w:val="en-US"/>
        </w:rPr>
      </w:pPr>
      <w:r w:rsidRPr="008F486E">
        <w:rPr>
          <w:rFonts w:ascii="Arial" w:hAnsi="Arial" w:cs="Arial"/>
          <w:i/>
          <w:sz w:val="24"/>
          <w:szCs w:val="24"/>
          <w:lang w:val="en-US"/>
        </w:rPr>
        <w:t>I</w:t>
      </w:r>
      <w:r w:rsidR="009D3F53" w:rsidRPr="008F486E">
        <w:rPr>
          <w:rFonts w:ascii="Arial" w:hAnsi="Arial" w:cs="Arial"/>
          <w:i/>
          <w:sz w:val="24"/>
          <w:szCs w:val="24"/>
          <w:lang w:val="en-US"/>
        </w:rPr>
        <w:t>.</w:t>
      </w:r>
      <w:r w:rsidRPr="008F486E">
        <w:rPr>
          <w:rFonts w:ascii="Arial" w:hAnsi="Arial" w:cs="Arial"/>
          <w:i/>
          <w:sz w:val="24"/>
          <w:szCs w:val="24"/>
          <w:lang w:val="en-US"/>
        </w:rPr>
        <w:t>A</w:t>
      </w:r>
      <w:r w:rsidR="009D3F53" w:rsidRPr="008F486E">
        <w:rPr>
          <w:rFonts w:ascii="Arial" w:hAnsi="Arial" w:cs="Arial"/>
          <w:i/>
          <w:sz w:val="24"/>
          <w:szCs w:val="24"/>
          <w:lang w:val="en-US"/>
        </w:rPr>
        <w:t>.</w:t>
      </w:r>
      <w:r w:rsidRPr="008F486E">
        <w:rPr>
          <w:rFonts w:ascii="Arial" w:hAnsi="Arial" w:cs="Arial"/>
          <w:i/>
          <w:sz w:val="24"/>
          <w:szCs w:val="24"/>
          <w:lang w:val="en-US"/>
        </w:rPr>
        <w:t>M</w:t>
      </w:r>
      <w:r w:rsidR="009D3F53" w:rsidRPr="008F486E">
        <w:rPr>
          <w:rFonts w:ascii="Arial" w:hAnsi="Arial" w:cs="Arial"/>
          <w:i/>
          <w:sz w:val="24"/>
          <w:szCs w:val="24"/>
          <w:lang w:val="en-US"/>
        </w:rPr>
        <w:t>.</w:t>
      </w:r>
      <w:r w:rsidRPr="008F486E">
        <w:rPr>
          <w:rFonts w:ascii="Arial" w:hAnsi="Arial" w:cs="Arial"/>
          <w:i/>
          <w:sz w:val="24"/>
          <w:szCs w:val="24"/>
          <w:lang w:val="en-US"/>
        </w:rPr>
        <w:t>/</w:t>
      </w:r>
      <w:r w:rsidRPr="008F486E">
        <w:rPr>
          <w:rFonts w:ascii="Arial" w:hAnsi="Arial" w:cs="Arial"/>
          <w:sz w:val="24"/>
          <w:szCs w:val="24"/>
          <w:lang w:val="en-US"/>
        </w:rPr>
        <w:t xml:space="preserve">2013/CRP.7, </w:t>
      </w:r>
      <w:r w:rsidR="00B4283D" w:rsidRPr="008F486E">
        <w:rPr>
          <w:rFonts w:ascii="Arial" w:hAnsi="Arial" w:cs="Arial"/>
          <w:sz w:val="24"/>
          <w:szCs w:val="24"/>
          <w:lang w:val="en-US"/>
        </w:rPr>
        <w:t xml:space="preserve">United Nations Inter-Agency Meeting on Outer Space Activities, Thirty-third </w:t>
      </w:r>
      <w:proofErr w:type="spellStart"/>
      <w:r w:rsidR="00B4283D" w:rsidRPr="008F486E">
        <w:rPr>
          <w:rFonts w:ascii="Arial" w:hAnsi="Arial" w:cs="Arial"/>
          <w:sz w:val="24"/>
          <w:szCs w:val="24"/>
          <w:lang w:val="en-US"/>
        </w:rPr>
        <w:t>sesión</w:t>
      </w:r>
      <w:proofErr w:type="spellEnd"/>
      <w:r w:rsidR="00B4283D" w:rsidRPr="008F486E">
        <w:rPr>
          <w:rFonts w:ascii="Arial" w:hAnsi="Arial" w:cs="Arial"/>
          <w:sz w:val="24"/>
          <w:szCs w:val="24"/>
          <w:lang w:val="en-US"/>
        </w:rPr>
        <w:t xml:space="preserve"> 12</w:t>
      </w:r>
      <w:r w:rsidR="009578D1" w:rsidRPr="008F486E">
        <w:rPr>
          <w:rFonts w:ascii="Arial" w:hAnsi="Arial" w:cs="Arial"/>
          <w:sz w:val="24"/>
          <w:szCs w:val="24"/>
          <w:lang w:val="en-US"/>
        </w:rPr>
        <w:t>-14 March</w:t>
      </w:r>
      <w:r w:rsidR="00977BB8" w:rsidRPr="008F486E">
        <w:rPr>
          <w:rFonts w:ascii="Arial" w:hAnsi="Arial" w:cs="Arial"/>
          <w:sz w:val="24"/>
          <w:szCs w:val="24"/>
          <w:lang w:val="en-US"/>
        </w:rPr>
        <w:t xml:space="preserve"> 2013</w:t>
      </w:r>
      <w:r w:rsidR="009578D1" w:rsidRPr="008F486E">
        <w:rPr>
          <w:rFonts w:ascii="Arial" w:hAnsi="Arial" w:cs="Arial"/>
          <w:sz w:val="24"/>
          <w:szCs w:val="24"/>
          <w:lang w:val="en-US"/>
        </w:rPr>
        <w:t xml:space="preserve">, Geneva, Switzerland, </w:t>
      </w:r>
      <w:r w:rsidR="009578D1" w:rsidRPr="008F486E">
        <w:rPr>
          <w:rFonts w:ascii="Arial" w:hAnsi="Arial" w:cs="Arial"/>
          <w:i/>
          <w:sz w:val="24"/>
          <w:szCs w:val="24"/>
          <w:lang w:val="en-US"/>
        </w:rPr>
        <w:t>Doha Declaration</w:t>
      </w:r>
      <w:r w:rsidR="00B4283D" w:rsidRPr="008F486E">
        <w:rPr>
          <w:rFonts w:ascii="Arial" w:hAnsi="Arial" w:cs="Arial"/>
          <w:sz w:val="24"/>
          <w:szCs w:val="24"/>
          <w:lang w:val="en-US"/>
        </w:rPr>
        <w:t>.</w:t>
      </w:r>
    </w:p>
    <w:p w:rsidR="004A524C" w:rsidRPr="008F486E" w:rsidRDefault="004A524C" w:rsidP="008F486E">
      <w:pPr>
        <w:spacing w:line="360" w:lineRule="auto"/>
        <w:jc w:val="both"/>
        <w:rPr>
          <w:rFonts w:ascii="Arial" w:hAnsi="Arial" w:cs="Arial"/>
          <w:sz w:val="24"/>
          <w:szCs w:val="24"/>
          <w:lang w:val="en-US"/>
        </w:rPr>
      </w:pPr>
    </w:p>
    <w:p w:rsidR="00596D0F" w:rsidRPr="008F486E" w:rsidRDefault="006F134C" w:rsidP="008F486E">
      <w:pPr>
        <w:spacing w:line="360" w:lineRule="auto"/>
        <w:jc w:val="center"/>
        <w:rPr>
          <w:rFonts w:ascii="Arial" w:hAnsi="Arial" w:cs="Arial"/>
          <w:b/>
          <w:i/>
          <w:sz w:val="24"/>
          <w:szCs w:val="24"/>
        </w:rPr>
      </w:pPr>
      <w:r w:rsidRPr="008F486E">
        <w:rPr>
          <w:rFonts w:ascii="Arial" w:hAnsi="Arial" w:cs="Arial"/>
          <w:b/>
          <w:i/>
          <w:sz w:val="24"/>
          <w:szCs w:val="24"/>
        </w:rPr>
        <w:t>Documentación</w:t>
      </w:r>
      <w:r w:rsidR="00EF18EC" w:rsidRPr="008F486E">
        <w:rPr>
          <w:rFonts w:ascii="Arial" w:hAnsi="Arial" w:cs="Arial"/>
          <w:b/>
          <w:i/>
          <w:sz w:val="24"/>
          <w:szCs w:val="24"/>
        </w:rPr>
        <w:t xml:space="preserve"> de la</w:t>
      </w:r>
      <w:r w:rsidR="00405931" w:rsidRPr="008F486E">
        <w:rPr>
          <w:rFonts w:ascii="Arial" w:hAnsi="Arial" w:cs="Arial"/>
          <w:b/>
          <w:i/>
          <w:sz w:val="24"/>
          <w:szCs w:val="24"/>
        </w:rPr>
        <w:t xml:space="preserve"> </w:t>
      </w:r>
      <w:r w:rsidR="00457329" w:rsidRPr="008F486E">
        <w:rPr>
          <w:rFonts w:ascii="Arial" w:hAnsi="Arial" w:cs="Arial"/>
          <w:b/>
          <w:i/>
          <w:sz w:val="24"/>
          <w:szCs w:val="24"/>
        </w:rPr>
        <w:t>Unión Europea</w:t>
      </w:r>
    </w:p>
    <w:p w:rsidR="004E3A31" w:rsidRPr="008F486E" w:rsidRDefault="004E3A31" w:rsidP="008F486E">
      <w:pPr>
        <w:spacing w:line="360" w:lineRule="auto"/>
        <w:jc w:val="both"/>
        <w:rPr>
          <w:rFonts w:ascii="Arial" w:hAnsi="Arial" w:cs="Arial"/>
          <w:sz w:val="24"/>
          <w:szCs w:val="24"/>
        </w:rPr>
      </w:pPr>
      <w:r w:rsidRPr="008F486E">
        <w:rPr>
          <w:rFonts w:ascii="Arial" w:hAnsi="Arial" w:cs="Arial"/>
          <w:sz w:val="24"/>
          <w:szCs w:val="24"/>
        </w:rPr>
        <w:t>CE Bruselas, 17.6.2014, COM (2014) 344 final, 2014/0176 (COD). Propuesta de Directiva del Parlamento Europeo y del Consejo relativa a la difusión, con fines comerciales, de datos procedentes de satélites de observación de la Tierra.</w:t>
      </w:r>
    </w:p>
    <w:p w:rsidR="00EB12D3" w:rsidRPr="008F486E" w:rsidRDefault="00EB12D3" w:rsidP="008F486E">
      <w:pPr>
        <w:spacing w:line="360" w:lineRule="auto"/>
        <w:jc w:val="both"/>
        <w:rPr>
          <w:rFonts w:ascii="Arial" w:hAnsi="Arial" w:cs="Arial"/>
          <w:sz w:val="24"/>
          <w:szCs w:val="24"/>
        </w:rPr>
      </w:pPr>
      <w:r w:rsidRPr="008F486E">
        <w:rPr>
          <w:rFonts w:ascii="Arial" w:hAnsi="Arial" w:cs="Arial"/>
          <w:sz w:val="24"/>
          <w:szCs w:val="24"/>
        </w:rPr>
        <w:t xml:space="preserve">Comisión Europea, Alta Representante de la Unión para Asuntos Exteriores y Política de Seguridad, Bruselas, 19.7.2017, </w:t>
      </w:r>
      <w:proofErr w:type="spellStart"/>
      <w:r w:rsidRPr="008F486E">
        <w:rPr>
          <w:rFonts w:ascii="Arial" w:hAnsi="Arial" w:cs="Arial"/>
          <w:sz w:val="24"/>
          <w:szCs w:val="24"/>
        </w:rPr>
        <w:t>Join</w:t>
      </w:r>
      <w:proofErr w:type="spellEnd"/>
      <w:r w:rsidRPr="008F486E">
        <w:rPr>
          <w:rFonts w:ascii="Arial" w:hAnsi="Arial" w:cs="Arial"/>
          <w:sz w:val="24"/>
          <w:szCs w:val="24"/>
        </w:rPr>
        <w:t xml:space="preserve"> (2017) 30 final, Informe Conjunto al Parlamento Europeo y al Consejo relativo a la Aplicación de la Comunicación conjunta sobre la lucha contra las amenazas híbridas - Una respuesta de la Unión Europea</w:t>
      </w:r>
      <w:r w:rsidRPr="008F486E">
        <w:rPr>
          <w:rFonts w:ascii="Arial" w:hAnsi="Arial" w:cs="Arial"/>
          <w:i/>
          <w:sz w:val="24"/>
          <w:szCs w:val="24"/>
        </w:rPr>
        <w:t>.</w:t>
      </w:r>
    </w:p>
    <w:p w:rsidR="008E5FF4" w:rsidRPr="008F486E" w:rsidRDefault="008E5FF4" w:rsidP="008F486E">
      <w:pPr>
        <w:spacing w:line="360" w:lineRule="auto"/>
        <w:jc w:val="both"/>
        <w:rPr>
          <w:rFonts w:ascii="Arial" w:hAnsi="Arial" w:cs="Arial"/>
          <w:sz w:val="24"/>
          <w:szCs w:val="24"/>
          <w:lang w:val="en-US"/>
        </w:rPr>
      </w:pPr>
      <w:proofErr w:type="spellStart"/>
      <w:r w:rsidRPr="008F486E">
        <w:rPr>
          <w:rFonts w:ascii="Arial" w:hAnsi="Arial" w:cs="Arial"/>
          <w:sz w:val="24"/>
          <w:szCs w:val="24"/>
          <w:lang w:val="en-US"/>
        </w:rPr>
        <w:t>Consejo</w:t>
      </w:r>
      <w:proofErr w:type="spellEnd"/>
      <w:r w:rsidRPr="008F486E">
        <w:rPr>
          <w:rFonts w:ascii="Arial" w:hAnsi="Arial" w:cs="Arial"/>
          <w:sz w:val="24"/>
          <w:szCs w:val="24"/>
          <w:lang w:val="en-US"/>
        </w:rPr>
        <w:t xml:space="preserve"> de la Unión </w:t>
      </w:r>
      <w:proofErr w:type="spellStart"/>
      <w:r w:rsidRPr="008F486E">
        <w:rPr>
          <w:rFonts w:ascii="Arial" w:hAnsi="Arial" w:cs="Arial"/>
          <w:sz w:val="24"/>
          <w:szCs w:val="24"/>
          <w:lang w:val="en-US"/>
        </w:rPr>
        <w:t>Europea</w:t>
      </w:r>
      <w:proofErr w:type="spellEnd"/>
      <w:r w:rsidRPr="008F486E">
        <w:rPr>
          <w:rFonts w:ascii="Arial" w:hAnsi="Arial" w:cs="Arial"/>
          <w:sz w:val="24"/>
          <w:szCs w:val="24"/>
          <w:lang w:val="en-US"/>
        </w:rPr>
        <w:t>, Brussels, 8 Decem</w:t>
      </w:r>
      <w:r w:rsidR="00596D0F" w:rsidRPr="008F486E">
        <w:rPr>
          <w:rFonts w:ascii="Arial" w:hAnsi="Arial" w:cs="Arial"/>
          <w:sz w:val="24"/>
          <w:szCs w:val="24"/>
          <w:lang w:val="en-US"/>
        </w:rPr>
        <w:t xml:space="preserve">ber 2017, 14866/17, CORLX 548, </w:t>
      </w:r>
      <w:r w:rsidR="00D31916" w:rsidRPr="008F486E">
        <w:rPr>
          <w:rFonts w:ascii="Arial" w:hAnsi="Arial" w:cs="Arial"/>
          <w:sz w:val="24"/>
          <w:szCs w:val="24"/>
          <w:lang w:val="en-US"/>
        </w:rPr>
        <w:t xml:space="preserve">CFSP/PESC 1063, CSDP/PSDC 667, </w:t>
      </w:r>
      <w:r w:rsidRPr="008F486E">
        <w:rPr>
          <w:rFonts w:ascii="Arial" w:hAnsi="Arial" w:cs="Arial"/>
          <w:sz w:val="24"/>
          <w:szCs w:val="24"/>
          <w:lang w:val="en-US"/>
        </w:rPr>
        <w:t>FIN 752</w:t>
      </w:r>
      <w:r w:rsidR="0052337C" w:rsidRPr="008F486E">
        <w:rPr>
          <w:rFonts w:ascii="Arial" w:hAnsi="Arial" w:cs="Arial"/>
          <w:sz w:val="24"/>
          <w:szCs w:val="24"/>
          <w:lang w:val="en-US"/>
        </w:rPr>
        <w:t xml:space="preserve">, </w:t>
      </w:r>
      <w:r w:rsidRPr="008F486E">
        <w:rPr>
          <w:rFonts w:ascii="Arial" w:hAnsi="Arial" w:cs="Arial"/>
          <w:sz w:val="24"/>
          <w:szCs w:val="24"/>
          <w:lang w:val="en-US"/>
        </w:rPr>
        <w:t>Legislat</w:t>
      </w:r>
      <w:r w:rsidR="009578D1" w:rsidRPr="008F486E">
        <w:rPr>
          <w:rFonts w:ascii="Arial" w:hAnsi="Arial" w:cs="Arial"/>
          <w:sz w:val="24"/>
          <w:szCs w:val="24"/>
          <w:lang w:val="en-US"/>
        </w:rPr>
        <w:t xml:space="preserve">ive Acts and Other Instruments </w:t>
      </w:r>
      <w:r w:rsidRPr="008F486E">
        <w:rPr>
          <w:rFonts w:ascii="Arial" w:hAnsi="Arial" w:cs="Arial"/>
          <w:sz w:val="24"/>
          <w:szCs w:val="24"/>
          <w:lang w:val="en-US"/>
        </w:rPr>
        <w:t>Council decision establishing Permanent Structured Cooperation (PESCO) and determining the list</w:t>
      </w:r>
      <w:r w:rsidR="009578D1" w:rsidRPr="008F486E">
        <w:rPr>
          <w:rFonts w:ascii="Arial" w:hAnsi="Arial" w:cs="Arial"/>
          <w:sz w:val="24"/>
          <w:szCs w:val="24"/>
          <w:lang w:val="en-US"/>
        </w:rPr>
        <w:t xml:space="preserve"> of Participating Member States</w:t>
      </w:r>
      <w:r w:rsidRPr="008F486E">
        <w:rPr>
          <w:rFonts w:ascii="Arial" w:hAnsi="Arial" w:cs="Arial"/>
          <w:sz w:val="24"/>
          <w:szCs w:val="24"/>
          <w:lang w:val="en-US"/>
        </w:rPr>
        <w:t>.</w:t>
      </w:r>
    </w:p>
    <w:p w:rsidR="00382074" w:rsidRPr="008F486E" w:rsidRDefault="008E5FF4" w:rsidP="008F486E">
      <w:pPr>
        <w:spacing w:line="360" w:lineRule="auto"/>
        <w:jc w:val="both"/>
        <w:rPr>
          <w:rFonts w:ascii="Arial" w:hAnsi="Arial" w:cs="Arial"/>
          <w:sz w:val="24"/>
          <w:szCs w:val="24"/>
        </w:rPr>
      </w:pPr>
      <w:r w:rsidRPr="008F486E">
        <w:rPr>
          <w:rFonts w:ascii="Arial" w:hAnsi="Arial" w:cs="Arial"/>
          <w:sz w:val="24"/>
          <w:szCs w:val="24"/>
        </w:rPr>
        <w:t>Directiva UE 2016/1148 del Parlamento Europeo y del Consejo, de 6 de julio de 2016, relativa a las medidas destinadas a garantizar un elevado nivel común de seguridad de las redes y sistemas de información de la Unión.</w:t>
      </w:r>
    </w:p>
    <w:p w:rsidR="00FC197C" w:rsidRPr="008F486E" w:rsidRDefault="00FC197C" w:rsidP="008F486E">
      <w:pPr>
        <w:spacing w:line="360" w:lineRule="auto"/>
        <w:jc w:val="both"/>
        <w:rPr>
          <w:rFonts w:ascii="Arial" w:hAnsi="Arial" w:cs="Arial"/>
          <w:sz w:val="24"/>
          <w:szCs w:val="24"/>
        </w:rPr>
      </w:pPr>
      <w:r w:rsidRPr="008F486E">
        <w:rPr>
          <w:rFonts w:ascii="Arial" w:hAnsi="Arial" w:cs="Arial"/>
          <w:i/>
          <w:sz w:val="24"/>
          <w:szCs w:val="24"/>
        </w:rPr>
        <w:t>D.O.U.E</w:t>
      </w:r>
      <w:r w:rsidRPr="008F486E">
        <w:rPr>
          <w:rFonts w:ascii="Arial" w:hAnsi="Arial" w:cs="Arial"/>
          <w:sz w:val="24"/>
          <w:szCs w:val="24"/>
        </w:rPr>
        <w:t>. de 10 de febrero de 2015, DECISIÓN (PESC) 2015/203 del CONSEJO de 9 de febrero de 2015 en apoyo de la propuesta de la Unión para un Código internacional de conducta para las actividades en el espacio ultraterrestre como una</w:t>
      </w:r>
      <w:r w:rsidRPr="008F486E">
        <w:rPr>
          <w:rFonts w:ascii="Arial" w:hAnsi="Arial" w:cs="Arial"/>
          <w:b/>
          <w:sz w:val="24"/>
          <w:szCs w:val="24"/>
        </w:rPr>
        <w:t xml:space="preserve"> </w:t>
      </w:r>
      <w:r w:rsidRPr="008F486E">
        <w:rPr>
          <w:rFonts w:ascii="Arial" w:hAnsi="Arial" w:cs="Arial"/>
          <w:sz w:val="24"/>
          <w:szCs w:val="24"/>
        </w:rPr>
        <w:t>contribución a las</w:t>
      </w:r>
      <w:r w:rsidRPr="008F486E">
        <w:rPr>
          <w:rFonts w:ascii="Arial" w:hAnsi="Arial" w:cs="Arial"/>
          <w:b/>
          <w:sz w:val="24"/>
          <w:szCs w:val="24"/>
        </w:rPr>
        <w:t xml:space="preserve"> </w:t>
      </w:r>
      <w:r w:rsidRPr="008F486E">
        <w:rPr>
          <w:rFonts w:ascii="Arial" w:hAnsi="Arial" w:cs="Arial"/>
          <w:sz w:val="24"/>
          <w:szCs w:val="24"/>
        </w:rPr>
        <w:t>medidas de transparencia y de fomento de la confianza en las actividades en el espacio ultraterrestre.</w:t>
      </w:r>
    </w:p>
    <w:p w:rsidR="003E1A4C" w:rsidRPr="008F486E" w:rsidRDefault="003E1A4C" w:rsidP="008F486E">
      <w:pPr>
        <w:spacing w:line="360" w:lineRule="auto"/>
        <w:jc w:val="both"/>
        <w:rPr>
          <w:rFonts w:ascii="Arial" w:hAnsi="Arial" w:cs="Arial"/>
          <w:sz w:val="24"/>
          <w:szCs w:val="24"/>
        </w:rPr>
      </w:pPr>
      <w:r w:rsidRPr="008F486E">
        <w:rPr>
          <w:rFonts w:ascii="Arial" w:hAnsi="Arial" w:cs="Arial"/>
          <w:i/>
          <w:sz w:val="24"/>
          <w:szCs w:val="24"/>
        </w:rPr>
        <w:t>DOUE</w:t>
      </w:r>
      <w:r w:rsidR="004A524C" w:rsidRPr="008F486E">
        <w:rPr>
          <w:rFonts w:ascii="Arial" w:hAnsi="Arial" w:cs="Arial"/>
          <w:sz w:val="24"/>
          <w:szCs w:val="24"/>
        </w:rPr>
        <w:t xml:space="preserve"> </w:t>
      </w:r>
      <w:r w:rsidR="009C3E89" w:rsidRPr="008F486E">
        <w:rPr>
          <w:rFonts w:ascii="Arial" w:hAnsi="Arial" w:cs="Arial"/>
          <w:sz w:val="24"/>
          <w:szCs w:val="24"/>
        </w:rPr>
        <w:t>C 83/13, de 30 de marzo de 2010.</w:t>
      </w:r>
      <w:r w:rsidR="004A524C" w:rsidRPr="008F486E">
        <w:rPr>
          <w:rFonts w:ascii="Arial" w:hAnsi="Arial" w:cs="Arial"/>
          <w:sz w:val="24"/>
          <w:szCs w:val="24"/>
        </w:rPr>
        <w:t xml:space="preserve"> Versión Consolidada del Tratado de la Unión Europea.</w:t>
      </w:r>
    </w:p>
    <w:p w:rsidR="00FC197C" w:rsidRPr="008F486E" w:rsidRDefault="00FC197C" w:rsidP="008F486E">
      <w:pPr>
        <w:spacing w:line="360" w:lineRule="auto"/>
        <w:jc w:val="both"/>
        <w:rPr>
          <w:rFonts w:ascii="Arial" w:hAnsi="Arial" w:cs="Arial"/>
          <w:sz w:val="24"/>
          <w:szCs w:val="24"/>
        </w:rPr>
      </w:pPr>
      <w:r w:rsidRPr="008F486E">
        <w:rPr>
          <w:rFonts w:ascii="Arial" w:hAnsi="Arial" w:cs="Arial"/>
          <w:i/>
          <w:sz w:val="24"/>
          <w:szCs w:val="24"/>
        </w:rPr>
        <w:t>D.O.U.E.</w:t>
      </w:r>
      <w:r w:rsidRPr="008F486E">
        <w:rPr>
          <w:rFonts w:ascii="Arial" w:hAnsi="Arial" w:cs="Arial"/>
          <w:sz w:val="24"/>
          <w:szCs w:val="24"/>
        </w:rPr>
        <w:t xml:space="preserve"> L 122, de 24 de abril de 2014, Reglamento (UE) Nº 377/2014 del Parlamento Europeo y del Consejo de 3 de abril de 2014 por el que se establece el Programa </w:t>
      </w:r>
      <w:proofErr w:type="spellStart"/>
      <w:r w:rsidRPr="008F486E">
        <w:rPr>
          <w:rFonts w:ascii="Arial" w:hAnsi="Arial" w:cs="Arial"/>
          <w:sz w:val="24"/>
          <w:szCs w:val="24"/>
        </w:rPr>
        <w:t>Copernicus</w:t>
      </w:r>
      <w:proofErr w:type="spellEnd"/>
      <w:r w:rsidRPr="008F486E">
        <w:rPr>
          <w:rFonts w:ascii="Arial" w:hAnsi="Arial" w:cs="Arial"/>
          <w:sz w:val="24"/>
          <w:szCs w:val="24"/>
        </w:rPr>
        <w:t xml:space="preserve"> y se deroga el Reglamento (UE) Nº 911/2010.</w:t>
      </w:r>
    </w:p>
    <w:p w:rsidR="00FC197C" w:rsidRPr="008F486E" w:rsidRDefault="00FC197C" w:rsidP="008F486E">
      <w:pPr>
        <w:spacing w:line="360" w:lineRule="auto"/>
        <w:jc w:val="both"/>
        <w:rPr>
          <w:rFonts w:ascii="Arial" w:hAnsi="Arial" w:cs="Arial"/>
          <w:sz w:val="24"/>
          <w:szCs w:val="24"/>
        </w:rPr>
      </w:pPr>
      <w:r w:rsidRPr="008F486E">
        <w:rPr>
          <w:rFonts w:ascii="Arial" w:hAnsi="Arial" w:cs="Arial"/>
          <w:i/>
          <w:sz w:val="24"/>
          <w:szCs w:val="24"/>
        </w:rPr>
        <w:lastRenderedPageBreak/>
        <w:t>D.O.U.E.</w:t>
      </w:r>
      <w:r w:rsidRPr="008F486E">
        <w:rPr>
          <w:rFonts w:ascii="Arial" w:hAnsi="Arial" w:cs="Arial"/>
          <w:sz w:val="24"/>
          <w:szCs w:val="24"/>
        </w:rPr>
        <w:t xml:space="preserve"> L 158, de 27 de mayo de 2014, Decisión Nº 541/2014/UE del Parlamento Europeo y del Consejo, de 16 de abril de 2014, por la que se establece un marco de apoyo a la vigilancia y seguimiento espacial.</w:t>
      </w:r>
    </w:p>
    <w:p w:rsidR="00A70032" w:rsidRPr="008F486E" w:rsidRDefault="00D02575" w:rsidP="008F486E">
      <w:pPr>
        <w:spacing w:line="360" w:lineRule="auto"/>
        <w:jc w:val="both"/>
        <w:rPr>
          <w:rFonts w:ascii="Arial" w:hAnsi="Arial" w:cs="Arial"/>
          <w:sz w:val="24"/>
          <w:szCs w:val="24"/>
        </w:rPr>
      </w:pPr>
      <w:r w:rsidRPr="008F486E">
        <w:rPr>
          <w:rFonts w:ascii="Arial" w:hAnsi="Arial" w:cs="Arial"/>
          <w:sz w:val="24"/>
          <w:szCs w:val="24"/>
        </w:rPr>
        <w:t xml:space="preserve"> </w:t>
      </w:r>
      <w:r w:rsidR="00E65CF9" w:rsidRPr="008F486E">
        <w:rPr>
          <w:rFonts w:ascii="Arial" w:hAnsi="Arial" w:cs="Arial"/>
          <w:i/>
          <w:sz w:val="24"/>
          <w:szCs w:val="24"/>
        </w:rPr>
        <w:t>D.O.U.E</w:t>
      </w:r>
      <w:r w:rsidR="00E65CF9" w:rsidRPr="008F486E">
        <w:rPr>
          <w:rFonts w:ascii="Arial" w:hAnsi="Arial" w:cs="Arial"/>
          <w:sz w:val="24"/>
          <w:szCs w:val="24"/>
        </w:rPr>
        <w:t>. L 261, de 6 de agosto de 2004. Acuerdo Marco entre la Comunidad Europea y la Agencia Espacial Europea, de 25 de noviembre de 2003.</w:t>
      </w:r>
    </w:p>
    <w:p w:rsidR="00FC197C" w:rsidRPr="008F486E" w:rsidRDefault="00FC197C" w:rsidP="008F486E">
      <w:pPr>
        <w:spacing w:line="360" w:lineRule="auto"/>
        <w:jc w:val="both"/>
        <w:rPr>
          <w:rFonts w:ascii="Arial" w:hAnsi="Arial" w:cs="Arial"/>
          <w:i/>
          <w:sz w:val="24"/>
          <w:szCs w:val="24"/>
        </w:rPr>
      </w:pPr>
      <w:r w:rsidRPr="008F486E">
        <w:rPr>
          <w:rFonts w:ascii="Arial" w:hAnsi="Arial" w:cs="Arial"/>
          <w:i/>
          <w:sz w:val="24"/>
          <w:szCs w:val="24"/>
        </w:rPr>
        <w:t>D.O.U.E</w:t>
      </w:r>
      <w:r w:rsidRPr="008F486E">
        <w:rPr>
          <w:rFonts w:ascii="Arial" w:hAnsi="Arial" w:cs="Arial"/>
          <w:sz w:val="24"/>
          <w:szCs w:val="24"/>
        </w:rPr>
        <w:t>. L 347, de 20 de diciembre de 2013, Reglamento (UE) No 1285/2013 del Parlamento Europeo y del Consejo, de 11 de diciembre de 2013, relativo al establecimiento y la explotación de los sistemas europeos de radionavegación por satélite y por el que se derogan el Reglamento (CE) Nº 876/2002 del Consejo y el Reglamento (CE) Nº 683/2008 del Parlamento Europeo y del Consejo</w:t>
      </w:r>
    </w:p>
    <w:p w:rsidR="0047061E" w:rsidRPr="008F486E" w:rsidRDefault="00A70032" w:rsidP="008F486E">
      <w:pPr>
        <w:spacing w:line="360" w:lineRule="auto"/>
        <w:jc w:val="both"/>
        <w:rPr>
          <w:rFonts w:ascii="Arial" w:hAnsi="Arial" w:cs="Arial"/>
          <w:sz w:val="24"/>
          <w:szCs w:val="24"/>
        </w:rPr>
      </w:pPr>
      <w:r w:rsidRPr="008F486E">
        <w:rPr>
          <w:rFonts w:ascii="Arial" w:hAnsi="Arial" w:cs="Arial"/>
          <w:i/>
          <w:sz w:val="24"/>
          <w:szCs w:val="24"/>
        </w:rPr>
        <w:t>D</w:t>
      </w:r>
      <w:r w:rsidR="009D3F53" w:rsidRPr="008F486E">
        <w:rPr>
          <w:rFonts w:ascii="Arial" w:hAnsi="Arial" w:cs="Arial"/>
          <w:i/>
          <w:sz w:val="24"/>
          <w:szCs w:val="24"/>
        </w:rPr>
        <w:t>.</w:t>
      </w:r>
      <w:r w:rsidRPr="008F486E">
        <w:rPr>
          <w:rFonts w:ascii="Arial" w:hAnsi="Arial" w:cs="Arial"/>
          <w:i/>
          <w:sz w:val="24"/>
          <w:szCs w:val="24"/>
        </w:rPr>
        <w:t>O</w:t>
      </w:r>
      <w:r w:rsidR="009D3F53" w:rsidRPr="008F486E">
        <w:rPr>
          <w:rFonts w:ascii="Arial" w:hAnsi="Arial" w:cs="Arial"/>
          <w:i/>
          <w:sz w:val="24"/>
          <w:szCs w:val="24"/>
        </w:rPr>
        <w:t>.</w:t>
      </w:r>
      <w:r w:rsidRPr="008F486E">
        <w:rPr>
          <w:rFonts w:ascii="Arial" w:hAnsi="Arial" w:cs="Arial"/>
          <w:i/>
          <w:sz w:val="24"/>
          <w:szCs w:val="24"/>
        </w:rPr>
        <w:t>U</w:t>
      </w:r>
      <w:r w:rsidR="009D3F53" w:rsidRPr="008F486E">
        <w:rPr>
          <w:rFonts w:ascii="Arial" w:hAnsi="Arial" w:cs="Arial"/>
          <w:i/>
          <w:sz w:val="24"/>
          <w:szCs w:val="24"/>
        </w:rPr>
        <w:t>.</w:t>
      </w:r>
      <w:r w:rsidRPr="008F486E">
        <w:rPr>
          <w:rFonts w:ascii="Arial" w:hAnsi="Arial" w:cs="Arial"/>
          <w:i/>
          <w:sz w:val="24"/>
          <w:szCs w:val="24"/>
        </w:rPr>
        <w:t>E</w:t>
      </w:r>
      <w:r w:rsidR="009D3F53" w:rsidRPr="008F486E">
        <w:rPr>
          <w:rFonts w:ascii="Arial" w:hAnsi="Arial" w:cs="Arial"/>
          <w:sz w:val="24"/>
          <w:szCs w:val="24"/>
        </w:rPr>
        <w:t>.</w:t>
      </w:r>
      <w:r w:rsidRPr="008F486E">
        <w:rPr>
          <w:rFonts w:ascii="Arial" w:hAnsi="Arial" w:cs="Arial"/>
          <w:sz w:val="24"/>
          <w:szCs w:val="24"/>
        </w:rPr>
        <w:t xml:space="preserve"> L 347, de 20 de diciembre de 2013, Reglamento (UE) nº 1291/2013 del Parlamento Europeo y del Consejo, de 11 de diciembre de 2013, por el que se establece Horizonte 2020, Programa Marco de Investigación e Innovación (2014-2020 y por el que se deroga la Decisión nº 1982/2006/CE.</w:t>
      </w:r>
    </w:p>
    <w:p w:rsidR="00FC197C" w:rsidRPr="008F486E" w:rsidRDefault="00FC197C" w:rsidP="008F486E">
      <w:pPr>
        <w:spacing w:line="360" w:lineRule="auto"/>
        <w:jc w:val="center"/>
        <w:rPr>
          <w:rFonts w:ascii="Arial" w:hAnsi="Arial" w:cs="Arial"/>
          <w:b/>
          <w:i/>
          <w:sz w:val="24"/>
          <w:szCs w:val="24"/>
        </w:rPr>
      </w:pPr>
    </w:p>
    <w:p w:rsidR="00596D0F" w:rsidRPr="008F486E" w:rsidRDefault="0018658F" w:rsidP="008F486E">
      <w:pPr>
        <w:spacing w:line="360" w:lineRule="auto"/>
        <w:jc w:val="center"/>
        <w:rPr>
          <w:rFonts w:ascii="Arial" w:hAnsi="Arial" w:cs="Arial"/>
          <w:b/>
          <w:i/>
          <w:sz w:val="24"/>
          <w:szCs w:val="24"/>
        </w:rPr>
      </w:pPr>
      <w:r w:rsidRPr="008F486E">
        <w:rPr>
          <w:rFonts w:ascii="Arial" w:hAnsi="Arial" w:cs="Arial"/>
          <w:b/>
          <w:i/>
          <w:sz w:val="24"/>
          <w:szCs w:val="24"/>
        </w:rPr>
        <w:t>Boletín Oficial del Estado español</w:t>
      </w:r>
    </w:p>
    <w:p w:rsidR="00875841" w:rsidRPr="008F486E" w:rsidRDefault="00D6500E"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xml:space="preserve">. núm. 39, de 4 de febrero de 1969.  </w:t>
      </w:r>
      <w:r w:rsidR="00FC656B" w:rsidRPr="008F486E">
        <w:rPr>
          <w:rFonts w:ascii="Arial" w:hAnsi="Arial" w:cs="Arial"/>
          <w:sz w:val="24"/>
          <w:szCs w:val="24"/>
        </w:rPr>
        <w:t>Tratado sobre los principios que deben regir las actividades de los Estados en la exploración y utilización del espacio ultraterrestre, incluso la Luna y otros cuerpos celestes</w:t>
      </w:r>
      <w:r w:rsidRPr="008F486E">
        <w:rPr>
          <w:rFonts w:ascii="Arial" w:hAnsi="Arial" w:cs="Arial"/>
          <w:sz w:val="24"/>
          <w:szCs w:val="24"/>
        </w:rPr>
        <w:t>, de 27 de enero de 1967</w:t>
      </w:r>
      <w:r w:rsidR="00F15A9D" w:rsidRPr="008F486E">
        <w:rPr>
          <w:rFonts w:ascii="Arial" w:hAnsi="Arial" w:cs="Arial"/>
          <w:sz w:val="24"/>
          <w:szCs w:val="24"/>
        </w:rPr>
        <w:t>.</w:t>
      </w:r>
    </w:p>
    <w:p w:rsidR="008E5FF4" w:rsidRPr="008F486E" w:rsidRDefault="00F15A9D"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núm. 25, de 29 de enero de 1979. Convenio sobre el Registro</w:t>
      </w:r>
      <w:r w:rsidR="00FC656B" w:rsidRPr="008F486E">
        <w:rPr>
          <w:rFonts w:ascii="Arial" w:hAnsi="Arial" w:cs="Arial"/>
          <w:sz w:val="24"/>
          <w:szCs w:val="24"/>
        </w:rPr>
        <w:t xml:space="preserve"> de objetos lanzados al espacio ultraterrestre</w:t>
      </w:r>
      <w:r w:rsidRPr="008F486E">
        <w:rPr>
          <w:rFonts w:ascii="Arial" w:hAnsi="Arial" w:cs="Arial"/>
          <w:sz w:val="24"/>
          <w:szCs w:val="24"/>
        </w:rPr>
        <w:t>, de 14 de enero de 1975</w:t>
      </w:r>
      <w:r w:rsidR="008E5FF4" w:rsidRPr="008F486E">
        <w:rPr>
          <w:rFonts w:ascii="Arial" w:hAnsi="Arial" w:cs="Arial"/>
          <w:sz w:val="24"/>
          <w:szCs w:val="24"/>
        </w:rPr>
        <w:t>.</w:t>
      </w:r>
    </w:p>
    <w:p w:rsidR="00875841" w:rsidRPr="008F486E" w:rsidRDefault="00875841"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xml:space="preserve"> núm. 106, de 2 de mayo de 1980.</w:t>
      </w:r>
      <w:r w:rsidR="00F15A9D" w:rsidRPr="008F486E">
        <w:rPr>
          <w:rFonts w:ascii="Arial" w:hAnsi="Arial" w:cs="Arial"/>
          <w:sz w:val="24"/>
          <w:szCs w:val="24"/>
        </w:rPr>
        <w:t xml:space="preserve"> Convenio sobre la Responsabilidad</w:t>
      </w:r>
      <w:r w:rsidR="00FC656B" w:rsidRPr="008F486E">
        <w:rPr>
          <w:rFonts w:ascii="Arial" w:hAnsi="Arial" w:cs="Arial"/>
          <w:sz w:val="24"/>
          <w:szCs w:val="24"/>
        </w:rPr>
        <w:t xml:space="preserve"> internacional por daños causados por objetos espaciales</w:t>
      </w:r>
      <w:r w:rsidR="00F15A9D" w:rsidRPr="008F486E">
        <w:rPr>
          <w:rFonts w:ascii="Arial" w:hAnsi="Arial" w:cs="Arial"/>
          <w:sz w:val="24"/>
          <w:szCs w:val="24"/>
        </w:rPr>
        <w:t>, de 29 de marzo de 1972.</w:t>
      </w:r>
    </w:p>
    <w:p w:rsidR="00777AF8" w:rsidRPr="008F486E" w:rsidRDefault="00777AF8" w:rsidP="008F486E">
      <w:pPr>
        <w:spacing w:line="360" w:lineRule="auto"/>
        <w:jc w:val="both"/>
        <w:rPr>
          <w:rFonts w:ascii="Arial" w:hAnsi="Arial" w:cs="Arial"/>
          <w:sz w:val="24"/>
          <w:szCs w:val="24"/>
        </w:rPr>
      </w:pPr>
      <w:r w:rsidRPr="008F486E">
        <w:rPr>
          <w:rFonts w:ascii="Arial" w:hAnsi="Arial" w:cs="Arial"/>
          <w:i/>
          <w:sz w:val="24"/>
          <w:szCs w:val="24"/>
        </w:rPr>
        <w:t xml:space="preserve"> B.O.E.</w:t>
      </w:r>
      <w:r w:rsidRPr="008F486E">
        <w:rPr>
          <w:rFonts w:ascii="Arial" w:hAnsi="Arial" w:cs="Arial"/>
          <w:sz w:val="24"/>
          <w:szCs w:val="24"/>
        </w:rPr>
        <w:t xml:space="preserve"> núm. 12, de 13 de enero de 1981. Convenio de creación de una Agencia Espacial Europea, de 30 de mayo de 1975.</w:t>
      </w:r>
    </w:p>
    <w:p w:rsidR="00D94DA4" w:rsidRPr="008F486E" w:rsidRDefault="008E5FF4" w:rsidP="008F486E">
      <w:pPr>
        <w:spacing w:line="360" w:lineRule="auto"/>
        <w:jc w:val="both"/>
        <w:rPr>
          <w:rFonts w:ascii="Arial" w:hAnsi="Arial" w:cs="Arial"/>
          <w:sz w:val="24"/>
          <w:szCs w:val="24"/>
        </w:rPr>
      </w:pPr>
      <w:r w:rsidRPr="008F486E">
        <w:rPr>
          <w:rFonts w:ascii="Arial" w:hAnsi="Arial" w:cs="Arial"/>
          <w:sz w:val="24"/>
          <w:szCs w:val="24"/>
        </w:rPr>
        <w:lastRenderedPageBreak/>
        <w:t xml:space="preserve"> </w:t>
      </w:r>
      <w:r w:rsidR="00D94DA4" w:rsidRPr="008F486E">
        <w:rPr>
          <w:rFonts w:ascii="Arial" w:hAnsi="Arial" w:cs="Arial"/>
          <w:i/>
          <w:sz w:val="24"/>
          <w:szCs w:val="24"/>
        </w:rPr>
        <w:t>B.O.E</w:t>
      </w:r>
      <w:r w:rsidR="00D94DA4" w:rsidRPr="008F486E">
        <w:rPr>
          <w:rFonts w:ascii="Arial" w:hAnsi="Arial" w:cs="Arial"/>
          <w:sz w:val="24"/>
          <w:szCs w:val="24"/>
        </w:rPr>
        <w:t>. núm. 313, de 31 de diciembre de 1987. Tratado por el que se prohíben los ensayos con armas nucleares en la atmósfera, el espacio ultraterrestre y debajo del agua, de 5 de agosto de 1963.</w:t>
      </w:r>
    </w:p>
    <w:p w:rsidR="00F91B04" w:rsidRPr="008F486E" w:rsidRDefault="00F91B04" w:rsidP="008F486E">
      <w:pPr>
        <w:spacing w:line="360" w:lineRule="auto"/>
        <w:jc w:val="both"/>
        <w:rPr>
          <w:rFonts w:ascii="Arial" w:hAnsi="Arial" w:cs="Arial"/>
          <w:i/>
          <w:sz w:val="24"/>
          <w:szCs w:val="24"/>
        </w:rPr>
      </w:pPr>
      <w:r w:rsidRPr="008F486E">
        <w:rPr>
          <w:rFonts w:ascii="Arial" w:hAnsi="Arial" w:cs="Arial"/>
          <w:sz w:val="24"/>
          <w:szCs w:val="24"/>
        </w:rPr>
        <w:t xml:space="preserve"> </w:t>
      </w:r>
      <w:r w:rsidRPr="008F486E">
        <w:rPr>
          <w:rFonts w:ascii="Arial" w:hAnsi="Arial" w:cs="Arial"/>
          <w:i/>
          <w:sz w:val="24"/>
          <w:szCs w:val="24"/>
        </w:rPr>
        <w:t>B.O.E</w:t>
      </w:r>
      <w:r w:rsidRPr="008F486E">
        <w:rPr>
          <w:rFonts w:ascii="Arial" w:hAnsi="Arial" w:cs="Arial"/>
          <w:sz w:val="24"/>
          <w:szCs w:val="24"/>
        </w:rPr>
        <w:t>. núm. 179, de 27 de julio de 1992. Participación de España en el sistema COSPAS-SARSAT de satélites para localización de emergencias, en calidad de país proveedor del segmento terrestre, hecho en París el 1 de julio de 1988.</w:t>
      </w:r>
    </w:p>
    <w:p w:rsidR="00133AAE" w:rsidRPr="008F486E" w:rsidRDefault="00133AAE" w:rsidP="008F486E">
      <w:pPr>
        <w:spacing w:line="360" w:lineRule="auto"/>
        <w:jc w:val="both"/>
        <w:rPr>
          <w:rFonts w:ascii="Arial" w:hAnsi="Arial" w:cs="Arial"/>
          <w:sz w:val="24"/>
          <w:szCs w:val="24"/>
        </w:rPr>
      </w:pPr>
      <w:r w:rsidRPr="008F486E">
        <w:rPr>
          <w:rFonts w:ascii="Arial" w:hAnsi="Arial" w:cs="Arial"/>
          <w:i/>
          <w:sz w:val="24"/>
          <w:szCs w:val="24"/>
        </w:rPr>
        <w:t xml:space="preserve"> B.O.E</w:t>
      </w:r>
      <w:r w:rsidRPr="008F486E">
        <w:rPr>
          <w:rFonts w:ascii="Arial" w:hAnsi="Arial" w:cs="Arial"/>
          <w:sz w:val="24"/>
          <w:szCs w:val="24"/>
        </w:rPr>
        <w:t>. núm. 124, de 25 de mayo de 1994. Convenio de cooperación espacial entre el Reino de España y los Estados Unidos de América, hecho en Madrid el 11 de julio de 1991.</w:t>
      </w:r>
    </w:p>
    <w:p w:rsidR="00777AF8" w:rsidRPr="008F486E" w:rsidRDefault="00777AF8" w:rsidP="008F486E">
      <w:pPr>
        <w:spacing w:line="360" w:lineRule="auto"/>
        <w:jc w:val="both"/>
        <w:rPr>
          <w:rFonts w:ascii="Arial" w:hAnsi="Arial" w:cs="Arial"/>
          <w:i/>
          <w:sz w:val="24"/>
          <w:szCs w:val="24"/>
        </w:rPr>
      </w:pPr>
      <w:r w:rsidRPr="008F486E">
        <w:rPr>
          <w:rFonts w:ascii="Arial" w:hAnsi="Arial" w:cs="Arial"/>
          <w:i/>
          <w:sz w:val="24"/>
          <w:szCs w:val="24"/>
        </w:rPr>
        <w:t>B.O.E</w:t>
      </w:r>
      <w:r w:rsidRPr="008F486E">
        <w:rPr>
          <w:rFonts w:ascii="Arial" w:hAnsi="Arial" w:cs="Arial"/>
          <w:sz w:val="24"/>
          <w:szCs w:val="24"/>
        </w:rPr>
        <w:t>. núm.5, de 6 de enero de 1999. Acuerdo entre el Gobierno de Canadá, los Gobiernos de los Estados Miembros de la Agencia Espacial Europea, el Gobierno de Japón, el Gobierno de la Federación de Rusia y el Gobierno de los Estados Unidos de América relativo a la cooperación sobre la Estación Espacial Civil Internacional, y Acuerdo relativo a la Aplicación del Acuerdo Intergubernamental sobre la Estación Espacial hasta su entrada en vigor, hechos en Washington el 29 de enero de 1998</w:t>
      </w:r>
      <w:r w:rsidRPr="008F486E">
        <w:rPr>
          <w:rFonts w:ascii="Arial" w:hAnsi="Arial" w:cs="Arial"/>
          <w:i/>
          <w:sz w:val="24"/>
          <w:szCs w:val="24"/>
        </w:rPr>
        <w:t>.</w:t>
      </w:r>
    </w:p>
    <w:p w:rsidR="00777AF8" w:rsidRPr="008F486E" w:rsidRDefault="008E5FF4" w:rsidP="008F486E">
      <w:pPr>
        <w:spacing w:line="360" w:lineRule="auto"/>
        <w:jc w:val="both"/>
        <w:rPr>
          <w:rFonts w:ascii="Arial" w:hAnsi="Arial" w:cs="Arial"/>
          <w:sz w:val="24"/>
          <w:szCs w:val="24"/>
        </w:rPr>
      </w:pPr>
      <w:r w:rsidRPr="008F486E">
        <w:rPr>
          <w:rFonts w:ascii="Arial" w:hAnsi="Arial" w:cs="Arial"/>
          <w:i/>
          <w:sz w:val="24"/>
          <w:szCs w:val="24"/>
        </w:rPr>
        <w:t xml:space="preserve"> </w:t>
      </w:r>
      <w:r w:rsidR="00777AF8" w:rsidRPr="008F486E">
        <w:rPr>
          <w:rFonts w:ascii="Arial" w:hAnsi="Arial" w:cs="Arial"/>
          <w:i/>
          <w:sz w:val="24"/>
          <w:szCs w:val="24"/>
        </w:rPr>
        <w:t>B.O.E.</w:t>
      </w:r>
      <w:r w:rsidR="00777AF8" w:rsidRPr="008F486E">
        <w:rPr>
          <w:rFonts w:ascii="Arial" w:hAnsi="Arial" w:cs="Arial"/>
          <w:sz w:val="24"/>
          <w:szCs w:val="24"/>
        </w:rPr>
        <w:t xml:space="preserve"> núm. 306, de 22 de diciembre de 2000 y B.O.E. núm. 225, de 19 de septiembre de 1986. Convenio sobre el Establecimiento de una Organización Europea para la Explotación de Satélites Meteorológicos (EUMETSAT), de 24 de mayo de 1983, enmendado el 5 de junio de 1991.  </w:t>
      </w:r>
    </w:p>
    <w:p w:rsidR="003E1A4C" w:rsidRPr="008F486E" w:rsidRDefault="00D94DA4"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núm. 137, de 8 de junio de 2001. Acuerdo sobre el Salvamento</w:t>
      </w:r>
      <w:r w:rsidR="00FC656B" w:rsidRPr="008F486E">
        <w:rPr>
          <w:rFonts w:ascii="Arial" w:hAnsi="Arial" w:cs="Arial"/>
          <w:sz w:val="24"/>
          <w:szCs w:val="24"/>
        </w:rPr>
        <w:t xml:space="preserve"> y la devolución de astronautas y la restitución</w:t>
      </w:r>
      <w:r w:rsidR="00F91DD3" w:rsidRPr="008F486E">
        <w:rPr>
          <w:rFonts w:ascii="Arial" w:hAnsi="Arial" w:cs="Arial"/>
          <w:sz w:val="24"/>
          <w:szCs w:val="24"/>
        </w:rPr>
        <w:t xml:space="preserve"> de objetos la</w:t>
      </w:r>
      <w:r w:rsidR="001D2634" w:rsidRPr="008F486E">
        <w:rPr>
          <w:rFonts w:ascii="Arial" w:hAnsi="Arial" w:cs="Arial"/>
          <w:sz w:val="24"/>
          <w:szCs w:val="24"/>
        </w:rPr>
        <w:t>nzados al espacio ultraterrestre</w:t>
      </w:r>
      <w:r w:rsidRPr="008F486E">
        <w:rPr>
          <w:rFonts w:ascii="Arial" w:hAnsi="Arial" w:cs="Arial"/>
          <w:sz w:val="24"/>
          <w:szCs w:val="24"/>
        </w:rPr>
        <w:t>, de 22 de abril de 1968.</w:t>
      </w:r>
    </w:p>
    <w:p w:rsidR="00777AF8" w:rsidRPr="008F486E" w:rsidRDefault="00777AF8" w:rsidP="008F486E">
      <w:pPr>
        <w:spacing w:line="360" w:lineRule="auto"/>
        <w:jc w:val="both"/>
        <w:rPr>
          <w:rFonts w:ascii="Arial" w:hAnsi="Arial" w:cs="Arial"/>
          <w:sz w:val="24"/>
          <w:szCs w:val="24"/>
        </w:rPr>
      </w:pPr>
      <w:r w:rsidRPr="008F486E">
        <w:rPr>
          <w:rFonts w:ascii="Arial" w:hAnsi="Arial" w:cs="Arial"/>
          <w:i/>
          <w:sz w:val="24"/>
          <w:szCs w:val="24"/>
        </w:rPr>
        <w:t xml:space="preserve"> B.O.E</w:t>
      </w:r>
      <w:r w:rsidRPr="008F486E">
        <w:rPr>
          <w:rFonts w:ascii="Arial" w:hAnsi="Arial" w:cs="Arial"/>
          <w:sz w:val="24"/>
          <w:szCs w:val="24"/>
        </w:rPr>
        <w:t xml:space="preserve">. núm. 24, de 28 de enero de 2003 y B.O.E. núm. 235, de 1 de octubre de 1985 Convenio Constitutivo de la Organización Europea de Telecomunicaciones por satélite (EUTELSAT), de 15 de julio de 1982, </w:t>
      </w:r>
      <w:r w:rsidR="00133AAE" w:rsidRPr="008F486E">
        <w:rPr>
          <w:rFonts w:ascii="Arial" w:hAnsi="Arial" w:cs="Arial"/>
          <w:sz w:val="24"/>
          <w:szCs w:val="24"/>
        </w:rPr>
        <w:t>enmendado el 20 de mayo de 1999</w:t>
      </w:r>
      <w:r w:rsidRPr="008F486E">
        <w:rPr>
          <w:rFonts w:ascii="Arial" w:hAnsi="Arial" w:cs="Arial"/>
          <w:sz w:val="24"/>
          <w:szCs w:val="24"/>
        </w:rPr>
        <w:t>.</w:t>
      </w:r>
    </w:p>
    <w:p w:rsidR="008E5FF4" w:rsidRPr="008F486E" w:rsidRDefault="00133AAE"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xml:space="preserve">. núm. 121, de 18 de mayo de 2010. Acuerdo entre el Gobierno del Reino de España y el Gobierno de la Federación de Rusia sobre Cooperación en el </w:t>
      </w:r>
      <w:r w:rsidRPr="008F486E">
        <w:rPr>
          <w:rFonts w:ascii="Arial" w:hAnsi="Arial" w:cs="Arial"/>
          <w:sz w:val="24"/>
          <w:szCs w:val="24"/>
        </w:rPr>
        <w:lastRenderedPageBreak/>
        <w:t>campo de la exploración y del uso pacífico del espacio ultraterrestre, hecho en Madrid, el 9 de febrero de 2006.</w:t>
      </w:r>
    </w:p>
    <w:p w:rsidR="008E5FF4" w:rsidRPr="008F486E" w:rsidRDefault="00777AF8" w:rsidP="008F486E">
      <w:pPr>
        <w:spacing w:line="360" w:lineRule="auto"/>
        <w:jc w:val="both"/>
        <w:rPr>
          <w:rFonts w:ascii="Arial" w:hAnsi="Arial" w:cs="Arial"/>
          <w:i/>
          <w:sz w:val="24"/>
          <w:szCs w:val="24"/>
        </w:rPr>
      </w:pPr>
      <w:r w:rsidRPr="008F486E">
        <w:rPr>
          <w:rFonts w:ascii="Arial" w:hAnsi="Arial" w:cs="Arial"/>
          <w:i/>
          <w:sz w:val="24"/>
          <w:szCs w:val="24"/>
        </w:rPr>
        <w:t>B.O.E</w:t>
      </w:r>
      <w:r w:rsidRPr="008F486E">
        <w:rPr>
          <w:rFonts w:ascii="Arial" w:hAnsi="Arial" w:cs="Arial"/>
          <w:sz w:val="24"/>
          <w:szCs w:val="24"/>
        </w:rPr>
        <w:t>. núm. 153, de 24 de junio de 2010. Convenio constitutivo de la Organización Internacional de Telecomunicaciones Móviles por satélite (IMSO) enmendado de acuerdo con las enmiendas al Convenio adoptadas por la Asamblea de la IMSO en su Vigésimo Período de sesiones, Aplicación provisional desde el 6 de octubre de 2008</w:t>
      </w:r>
      <w:r w:rsidRPr="008F486E">
        <w:rPr>
          <w:rFonts w:ascii="Arial" w:hAnsi="Arial" w:cs="Arial"/>
          <w:i/>
          <w:sz w:val="24"/>
          <w:szCs w:val="24"/>
        </w:rPr>
        <w:t>.</w:t>
      </w:r>
    </w:p>
    <w:p w:rsidR="00D94DA4" w:rsidRPr="008F486E" w:rsidRDefault="00D94DA4"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.núm.169, de 17 de julio de 2016</w:t>
      </w:r>
      <w:r w:rsidR="00777AF8" w:rsidRPr="008F486E">
        <w:rPr>
          <w:rFonts w:ascii="Arial" w:hAnsi="Arial" w:cs="Arial"/>
          <w:sz w:val="24"/>
          <w:szCs w:val="24"/>
        </w:rPr>
        <w:t xml:space="preserve"> y B.O.E. núm. 76, de 29 de marzo de 1973</w:t>
      </w:r>
      <w:r w:rsidRPr="008F486E">
        <w:rPr>
          <w:rFonts w:ascii="Arial" w:hAnsi="Arial" w:cs="Arial"/>
          <w:sz w:val="24"/>
          <w:szCs w:val="24"/>
        </w:rPr>
        <w:t>. Acuerdo relativo a la Organización Internacional de Telecomunicaciones por satélite (ITSO), de 17 de noviembre de 2000, enmendado el 23 de marzo de 2007.</w:t>
      </w:r>
    </w:p>
    <w:p w:rsidR="002E78FA" w:rsidRPr="008F486E" w:rsidRDefault="002E78FA"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núm. 28, de 2 de febrero de 2017.   Acuerdo de París, de 12 de diciembre de 2015.</w:t>
      </w:r>
    </w:p>
    <w:p w:rsidR="00405931" w:rsidRPr="008F486E" w:rsidRDefault="00F91B04" w:rsidP="008F486E">
      <w:pPr>
        <w:spacing w:line="360" w:lineRule="auto"/>
        <w:jc w:val="both"/>
        <w:rPr>
          <w:rFonts w:ascii="Arial" w:hAnsi="Arial" w:cs="Arial"/>
          <w:sz w:val="24"/>
          <w:szCs w:val="24"/>
        </w:rPr>
      </w:pPr>
      <w:r w:rsidRPr="008F486E">
        <w:rPr>
          <w:rFonts w:ascii="Arial" w:hAnsi="Arial" w:cs="Arial"/>
          <w:i/>
          <w:sz w:val="24"/>
          <w:szCs w:val="24"/>
        </w:rPr>
        <w:t>B.O.E</w:t>
      </w:r>
      <w:r w:rsidRPr="008F486E">
        <w:rPr>
          <w:rFonts w:ascii="Arial" w:hAnsi="Arial" w:cs="Arial"/>
          <w:sz w:val="24"/>
          <w:szCs w:val="24"/>
        </w:rPr>
        <w:t>. núm. 316, de 29 de diciembre de 2017.  Real Decreto 1036/2017, de 15 de diciembre, por el que se regula la utilización civil de las aeronaves pilotadas por control remoto, y se modifican el Real Decreto 552/2014, de 27 de junio, por el que se desarrolla el Reglamento del aire y disposiciones operativas comunes para los servicios y procedimientos de navegación aérea y el Real Decreto 57/2002, de 18 de enero, por el que se aprueba el Reglamento de Circulación Aérea</w:t>
      </w:r>
      <w:r w:rsidR="009578D1" w:rsidRPr="008F486E">
        <w:rPr>
          <w:rFonts w:ascii="Arial" w:hAnsi="Arial" w:cs="Arial"/>
          <w:sz w:val="24"/>
          <w:szCs w:val="24"/>
        </w:rPr>
        <w:t>.</w:t>
      </w:r>
    </w:p>
    <w:p w:rsidR="004A524C" w:rsidRPr="008F486E" w:rsidRDefault="004A524C" w:rsidP="008F486E">
      <w:pPr>
        <w:spacing w:line="360" w:lineRule="auto"/>
        <w:jc w:val="center"/>
        <w:rPr>
          <w:rFonts w:ascii="Arial" w:hAnsi="Arial" w:cs="Arial"/>
          <w:b/>
          <w:i/>
          <w:sz w:val="24"/>
          <w:szCs w:val="24"/>
        </w:rPr>
      </w:pPr>
    </w:p>
    <w:p w:rsidR="002E78FA" w:rsidRPr="008F486E" w:rsidRDefault="00405931" w:rsidP="008F486E">
      <w:pPr>
        <w:spacing w:line="360" w:lineRule="auto"/>
        <w:jc w:val="center"/>
        <w:rPr>
          <w:rFonts w:ascii="Arial" w:hAnsi="Arial" w:cs="Arial"/>
          <w:b/>
          <w:i/>
          <w:sz w:val="24"/>
          <w:szCs w:val="24"/>
        </w:rPr>
      </w:pPr>
      <w:proofErr w:type="spellStart"/>
      <w:r w:rsidRPr="008F486E">
        <w:rPr>
          <w:rFonts w:ascii="Arial" w:hAnsi="Arial" w:cs="Arial"/>
          <w:b/>
          <w:i/>
          <w:sz w:val="24"/>
          <w:szCs w:val="24"/>
        </w:rPr>
        <w:t>Cibergrafía</w:t>
      </w:r>
      <w:proofErr w:type="spellEnd"/>
    </w:p>
    <w:p w:rsidR="002E78FA" w:rsidRPr="008F486E" w:rsidRDefault="008F486E" w:rsidP="008F486E">
      <w:pPr>
        <w:spacing w:line="360" w:lineRule="auto"/>
        <w:jc w:val="both"/>
        <w:rPr>
          <w:rFonts w:ascii="Arial" w:hAnsi="Arial" w:cs="Arial"/>
          <w:sz w:val="24"/>
          <w:szCs w:val="24"/>
          <w:lang w:val="en-US"/>
        </w:rPr>
      </w:pPr>
      <w:hyperlink r:id="rId9" w:history="1">
        <w:r w:rsidR="002E78FA" w:rsidRPr="008F486E">
          <w:rPr>
            <w:rStyle w:val="Hipervnculo"/>
            <w:rFonts w:ascii="Arial" w:hAnsi="Arial" w:cs="Arial"/>
            <w:i/>
            <w:color w:val="auto"/>
            <w:sz w:val="24"/>
            <w:szCs w:val="24"/>
            <w:u w:val="none"/>
          </w:rPr>
          <w:t>http://data.legilux.public.lu/file/eli-etat-leg-loi-2017-07-20-a674-jo-fr-pdf.pdf</w:t>
        </w:r>
      </w:hyperlink>
      <w:r w:rsidR="002E78FA" w:rsidRPr="008F486E">
        <w:rPr>
          <w:rFonts w:ascii="Arial" w:hAnsi="Arial" w:cs="Arial"/>
          <w:sz w:val="24"/>
          <w:szCs w:val="24"/>
        </w:rPr>
        <w:t xml:space="preserve">. </w:t>
      </w:r>
      <w:r w:rsidR="000D19E7" w:rsidRPr="008F486E">
        <w:rPr>
          <w:rFonts w:ascii="Arial" w:hAnsi="Arial" w:cs="Arial"/>
          <w:sz w:val="24"/>
          <w:szCs w:val="24"/>
          <w:lang w:val="en-US"/>
        </w:rPr>
        <w:t>“</w:t>
      </w:r>
      <w:r w:rsidR="002E78FA" w:rsidRPr="008F486E">
        <w:rPr>
          <w:rFonts w:ascii="Arial" w:hAnsi="Arial" w:cs="Arial"/>
          <w:sz w:val="24"/>
          <w:szCs w:val="24"/>
          <w:lang w:val="en-US"/>
        </w:rPr>
        <w:t xml:space="preserve">Journal </w:t>
      </w:r>
      <w:proofErr w:type="spellStart"/>
      <w:r w:rsidR="002E78FA" w:rsidRPr="008F486E">
        <w:rPr>
          <w:rFonts w:ascii="Arial" w:hAnsi="Arial" w:cs="Arial"/>
          <w:sz w:val="24"/>
          <w:szCs w:val="24"/>
          <w:lang w:val="en-US"/>
        </w:rPr>
        <w:t>Officiel</w:t>
      </w:r>
      <w:proofErr w:type="spellEnd"/>
      <w:r w:rsidR="002E78FA" w:rsidRPr="008F486E">
        <w:rPr>
          <w:rFonts w:ascii="Arial" w:hAnsi="Arial" w:cs="Arial"/>
          <w:sz w:val="24"/>
          <w:szCs w:val="24"/>
          <w:lang w:val="en-US"/>
        </w:rPr>
        <w:t xml:space="preserve"> du Grand-</w:t>
      </w:r>
      <w:proofErr w:type="spellStart"/>
      <w:r w:rsidR="002E78FA" w:rsidRPr="008F486E">
        <w:rPr>
          <w:rFonts w:ascii="Arial" w:hAnsi="Arial" w:cs="Arial"/>
          <w:sz w:val="24"/>
          <w:szCs w:val="24"/>
          <w:lang w:val="en-US"/>
        </w:rPr>
        <w:t>Duché</w:t>
      </w:r>
      <w:proofErr w:type="spellEnd"/>
      <w:r w:rsidR="002E78FA" w:rsidRPr="008F486E">
        <w:rPr>
          <w:rFonts w:ascii="Arial" w:hAnsi="Arial" w:cs="Arial"/>
          <w:sz w:val="24"/>
          <w:szCs w:val="24"/>
          <w:lang w:val="en-US"/>
        </w:rPr>
        <w:t xml:space="preserve"> de Luxembourg , N° 674 du 28 </w:t>
      </w:r>
      <w:proofErr w:type="spellStart"/>
      <w:r w:rsidR="002E78FA" w:rsidRPr="008F486E">
        <w:rPr>
          <w:rFonts w:ascii="Arial" w:hAnsi="Arial" w:cs="Arial"/>
          <w:sz w:val="24"/>
          <w:szCs w:val="24"/>
          <w:lang w:val="en-US"/>
        </w:rPr>
        <w:t>juillet</w:t>
      </w:r>
      <w:proofErr w:type="spellEnd"/>
      <w:r w:rsidR="002E78FA" w:rsidRPr="008F486E">
        <w:rPr>
          <w:rFonts w:ascii="Arial" w:hAnsi="Arial" w:cs="Arial"/>
          <w:sz w:val="24"/>
          <w:szCs w:val="24"/>
          <w:lang w:val="en-US"/>
        </w:rPr>
        <w:t xml:space="preserve"> 2017,   </w:t>
      </w:r>
      <w:proofErr w:type="spellStart"/>
      <w:r w:rsidR="002E78FA" w:rsidRPr="008F486E">
        <w:rPr>
          <w:rFonts w:ascii="Arial" w:hAnsi="Arial" w:cs="Arial"/>
          <w:sz w:val="24"/>
          <w:szCs w:val="24"/>
          <w:lang w:val="en-US"/>
        </w:rPr>
        <w:t>Loi</w:t>
      </w:r>
      <w:proofErr w:type="spellEnd"/>
      <w:r w:rsidR="002E78FA" w:rsidRPr="008F486E">
        <w:rPr>
          <w:rFonts w:ascii="Arial" w:hAnsi="Arial" w:cs="Arial"/>
          <w:sz w:val="24"/>
          <w:szCs w:val="24"/>
          <w:lang w:val="en-US"/>
        </w:rPr>
        <w:t xml:space="preserve"> du 20 </w:t>
      </w:r>
      <w:proofErr w:type="spellStart"/>
      <w:r w:rsidR="002E78FA" w:rsidRPr="008F486E">
        <w:rPr>
          <w:rFonts w:ascii="Arial" w:hAnsi="Arial" w:cs="Arial"/>
          <w:sz w:val="24"/>
          <w:szCs w:val="24"/>
          <w:lang w:val="en-US"/>
        </w:rPr>
        <w:t>juillet</w:t>
      </w:r>
      <w:proofErr w:type="spellEnd"/>
      <w:r w:rsidR="002E78FA" w:rsidRPr="008F486E">
        <w:rPr>
          <w:rFonts w:ascii="Arial" w:hAnsi="Arial" w:cs="Arial"/>
          <w:sz w:val="24"/>
          <w:szCs w:val="24"/>
          <w:lang w:val="en-US"/>
        </w:rPr>
        <w:t xml:space="preserve"> 2017 </w:t>
      </w:r>
      <w:proofErr w:type="spellStart"/>
      <w:r w:rsidR="002E78FA" w:rsidRPr="008F486E">
        <w:rPr>
          <w:rFonts w:ascii="Arial" w:hAnsi="Arial" w:cs="Arial"/>
          <w:sz w:val="24"/>
          <w:szCs w:val="24"/>
          <w:lang w:val="en-US"/>
        </w:rPr>
        <w:t>sur</w:t>
      </w:r>
      <w:proofErr w:type="spellEnd"/>
      <w:r w:rsidR="002E78FA" w:rsidRPr="008F486E">
        <w:rPr>
          <w:rFonts w:ascii="Arial" w:hAnsi="Arial" w:cs="Arial"/>
          <w:sz w:val="24"/>
          <w:szCs w:val="24"/>
          <w:lang w:val="en-US"/>
        </w:rPr>
        <w:t xml:space="preserve"> </w:t>
      </w:r>
      <w:proofErr w:type="spellStart"/>
      <w:r w:rsidR="002E78FA" w:rsidRPr="008F486E">
        <w:rPr>
          <w:rFonts w:ascii="Arial" w:hAnsi="Arial" w:cs="Arial"/>
          <w:sz w:val="24"/>
          <w:szCs w:val="24"/>
          <w:lang w:val="en-US"/>
        </w:rPr>
        <w:t>l’exploration</w:t>
      </w:r>
      <w:proofErr w:type="spellEnd"/>
      <w:r w:rsidR="002E78FA" w:rsidRPr="008F486E">
        <w:rPr>
          <w:rFonts w:ascii="Arial" w:hAnsi="Arial" w:cs="Arial"/>
          <w:sz w:val="24"/>
          <w:szCs w:val="24"/>
          <w:lang w:val="en-US"/>
        </w:rPr>
        <w:t xml:space="preserve"> et </w:t>
      </w:r>
      <w:proofErr w:type="spellStart"/>
      <w:r w:rsidR="002E78FA" w:rsidRPr="008F486E">
        <w:rPr>
          <w:rFonts w:ascii="Arial" w:hAnsi="Arial" w:cs="Arial"/>
          <w:sz w:val="24"/>
          <w:szCs w:val="24"/>
          <w:lang w:val="en-US"/>
        </w:rPr>
        <w:t>l’utilisation</w:t>
      </w:r>
      <w:proofErr w:type="spellEnd"/>
      <w:r w:rsidR="002E78FA" w:rsidRPr="008F486E">
        <w:rPr>
          <w:rFonts w:ascii="Arial" w:hAnsi="Arial" w:cs="Arial"/>
          <w:sz w:val="24"/>
          <w:szCs w:val="24"/>
          <w:lang w:val="en-US"/>
        </w:rPr>
        <w:t xml:space="preserve"> des </w:t>
      </w:r>
      <w:proofErr w:type="spellStart"/>
      <w:r w:rsidR="002E78FA" w:rsidRPr="008F486E">
        <w:rPr>
          <w:rFonts w:ascii="Arial" w:hAnsi="Arial" w:cs="Arial"/>
          <w:sz w:val="24"/>
          <w:szCs w:val="24"/>
          <w:lang w:val="en-US"/>
        </w:rPr>
        <w:t>ressources</w:t>
      </w:r>
      <w:proofErr w:type="spellEnd"/>
      <w:r w:rsidR="002E78FA" w:rsidRPr="008F486E">
        <w:rPr>
          <w:rFonts w:ascii="Arial" w:hAnsi="Arial" w:cs="Arial"/>
          <w:sz w:val="24"/>
          <w:szCs w:val="24"/>
          <w:lang w:val="en-US"/>
        </w:rPr>
        <w:t xml:space="preserve"> de </w:t>
      </w:r>
      <w:proofErr w:type="spellStart"/>
      <w:r w:rsidR="002E78FA" w:rsidRPr="008F486E">
        <w:rPr>
          <w:rFonts w:ascii="Arial" w:hAnsi="Arial" w:cs="Arial"/>
          <w:sz w:val="24"/>
          <w:szCs w:val="24"/>
          <w:lang w:val="en-US"/>
        </w:rPr>
        <w:t>l’espace</w:t>
      </w:r>
      <w:proofErr w:type="spellEnd"/>
      <w:r w:rsidR="000D19E7" w:rsidRPr="008F486E">
        <w:rPr>
          <w:rFonts w:ascii="Arial" w:hAnsi="Arial" w:cs="Arial"/>
          <w:sz w:val="24"/>
          <w:szCs w:val="24"/>
          <w:lang w:val="en-US"/>
        </w:rPr>
        <w:t>”</w:t>
      </w:r>
      <w:r w:rsidR="002E78FA" w:rsidRPr="008F486E">
        <w:rPr>
          <w:rFonts w:ascii="Arial" w:hAnsi="Arial" w:cs="Arial"/>
          <w:sz w:val="24"/>
          <w:szCs w:val="24"/>
          <w:lang w:val="en-US"/>
        </w:rPr>
        <w:t>.</w:t>
      </w:r>
    </w:p>
    <w:p w:rsidR="002E78FA" w:rsidRPr="008F486E" w:rsidRDefault="002E78FA" w:rsidP="008F486E">
      <w:pPr>
        <w:spacing w:line="360" w:lineRule="auto"/>
        <w:jc w:val="both"/>
        <w:rPr>
          <w:rFonts w:ascii="Arial" w:hAnsi="Arial" w:cs="Arial"/>
          <w:sz w:val="24"/>
          <w:szCs w:val="24"/>
          <w:lang w:val="en-US"/>
        </w:rPr>
      </w:pPr>
      <w:r w:rsidRPr="008F486E">
        <w:rPr>
          <w:rFonts w:ascii="Arial" w:hAnsi="Arial" w:cs="Arial"/>
          <w:i/>
          <w:sz w:val="24"/>
          <w:szCs w:val="24"/>
          <w:lang w:val="en-US"/>
        </w:rPr>
        <w:t>https://eeas.europa.eu/sites/eeas/files/space_code_conduct_draft_vers_31-march-2014_en.pdf.</w:t>
      </w:r>
      <w:r w:rsidRPr="008F486E">
        <w:rPr>
          <w:rFonts w:ascii="Arial" w:hAnsi="Arial" w:cs="Arial"/>
          <w:sz w:val="24"/>
          <w:szCs w:val="24"/>
          <w:lang w:val="en-US"/>
        </w:rPr>
        <w:t xml:space="preserve"> </w:t>
      </w:r>
      <w:r w:rsidR="002A3C9D" w:rsidRPr="008F486E">
        <w:rPr>
          <w:rFonts w:ascii="Arial" w:hAnsi="Arial" w:cs="Arial"/>
          <w:sz w:val="24"/>
          <w:szCs w:val="24"/>
          <w:lang w:val="en-US"/>
        </w:rPr>
        <w:t xml:space="preserve"> </w:t>
      </w:r>
      <w:r w:rsidR="000D19E7" w:rsidRPr="008F486E">
        <w:rPr>
          <w:rFonts w:ascii="Arial" w:hAnsi="Arial" w:cs="Arial"/>
          <w:sz w:val="24"/>
          <w:szCs w:val="24"/>
          <w:lang w:val="en-US"/>
        </w:rPr>
        <w:t>“</w:t>
      </w:r>
      <w:r w:rsidRPr="008F486E">
        <w:rPr>
          <w:rFonts w:ascii="Arial" w:hAnsi="Arial" w:cs="Arial"/>
          <w:sz w:val="24"/>
          <w:szCs w:val="24"/>
          <w:lang w:val="en-US"/>
        </w:rPr>
        <w:t>Draft International Code of Conduct for Outer Space Activities, Version 31 march 2014</w:t>
      </w:r>
      <w:r w:rsidR="000D19E7" w:rsidRPr="008F486E">
        <w:rPr>
          <w:rFonts w:ascii="Arial" w:hAnsi="Arial" w:cs="Arial"/>
          <w:sz w:val="24"/>
          <w:szCs w:val="24"/>
          <w:lang w:val="en-US"/>
        </w:rPr>
        <w:t>”.</w:t>
      </w:r>
    </w:p>
    <w:p w:rsidR="002E78FA" w:rsidRPr="008F486E" w:rsidRDefault="008F486E" w:rsidP="008F486E">
      <w:pPr>
        <w:spacing w:line="360" w:lineRule="auto"/>
        <w:jc w:val="both"/>
        <w:rPr>
          <w:rFonts w:ascii="Arial" w:hAnsi="Arial" w:cs="Arial"/>
          <w:i/>
          <w:sz w:val="24"/>
          <w:szCs w:val="24"/>
          <w:lang w:val="en-US"/>
        </w:rPr>
      </w:pPr>
      <w:hyperlink r:id="rId10" w:history="1">
        <w:r w:rsidR="002E78FA" w:rsidRPr="008F486E">
          <w:rPr>
            <w:rStyle w:val="Hipervnculo"/>
            <w:rFonts w:ascii="Arial" w:hAnsi="Arial" w:cs="Arial"/>
            <w:i/>
            <w:color w:val="auto"/>
            <w:sz w:val="24"/>
            <w:szCs w:val="24"/>
            <w:u w:val="none"/>
            <w:lang w:val="en-US"/>
          </w:rPr>
          <w:t>http://ggim.un.org/ggim_committee.org</w:t>
        </w:r>
      </w:hyperlink>
      <w:r w:rsidR="002E78FA" w:rsidRPr="008F486E">
        <w:rPr>
          <w:rFonts w:ascii="Arial" w:hAnsi="Arial" w:cs="Arial"/>
          <w:i/>
          <w:sz w:val="24"/>
          <w:szCs w:val="24"/>
          <w:lang w:val="en-US"/>
        </w:rPr>
        <w:t>.</w:t>
      </w:r>
    </w:p>
    <w:p w:rsidR="002E78FA" w:rsidRPr="008F486E" w:rsidRDefault="008F486E" w:rsidP="008F486E">
      <w:pPr>
        <w:spacing w:line="360" w:lineRule="auto"/>
        <w:jc w:val="both"/>
        <w:rPr>
          <w:rFonts w:ascii="Arial" w:hAnsi="Arial" w:cs="Arial"/>
          <w:sz w:val="24"/>
          <w:szCs w:val="24"/>
        </w:rPr>
      </w:pPr>
      <w:hyperlink r:id="rId11" w:history="1">
        <w:r w:rsidR="002E78FA" w:rsidRPr="008F486E">
          <w:rPr>
            <w:rStyle w:val="Hipervnculo"/>
            <w:rFonts w:ascii="Arial" w:hAnsi="Arial" w:cs="Arial"/>
            <w:color w:val="auto"/>
            <w:sz w:val="24"/>
            <w:szCs w:val="24"/>
            <w:u w:val="none"/>
            <w:lang w:val="en-US"/>
          </w:rPr>
          <w:t>http://ggim.un.org/knowledgebase/attachment36.aspx</w:t>
        </w:r>
      </w:hyperlink>
      <w:r w:rsidR="00251958" w:rsidRPr="008F486E">
        <w:rPr>
          <w:rFonts w:ascii="Arial" w:hAnsi="Arial" w:cs="Arial"/>
          <w:sz w:val="24"/>
          <w:szCs w:val="24"/>
          <w:lang w:val="en-US"/>
        </w:rPr>
        <w:t xml:space="preserve">.  </w:t>
      </w:r>
      <w:r w:rsidR="000D19E7" w:rsidRPr="008F486E">
        <w:rPr>
          <w:rFonts w:ascii="Arial" w:hAnsi="Arial" w:cs="Arial"/>
          <w:sz w:val="24"/>
          <w:szCs w:val="24"/>
        </w:rPr>
        <w:t>“</w:t>
      </w:r>
      <w:r w:rsidR="002E78FA" w:rsidRPr="008F486E">
        <w:rPr>
          <w:rFonts w:ascii="Arial" w:hAnsi="Arial" w:cs="Arial"/>
          <w:sz w:val="24"/>
          <w:szCs w:val="24"/>
        </w:rPr>
        <w:t>Declaraci</w:t>
      </w:r>
      <w:r w:rsidR="002A3C9D" w:rsidRPr="008F486E">
        <w:rPr>
          <w:rFonts w:ascii="Arial" w:hAnsi="Arial" w:cs="Arial"/>
          <w:sz w:val="24"/>
          <w:szCs w:val="24"/>
        </w:rPr>
        <w:t>ón de</w:t>
      </w:r>
      <w:r w:rsidR="00251958" w:rsidRPr="008F486E">
        <w:rPr>
          <w:rFonts w:ascii="Arial" w:hAnsi="Arial" w:cs="Arial"/>
          <w:sz w:val="24"/>
          <w:szCs w:val="24"/>
        </w:rPr>
        <w:t xml:space="preserve"> Seúl</w:t>
      </w:r>
      <w:r w:rsidR="000D19E7" w:rsidRPr="008F486E">
        <w:rPr>
          <w:rFonts w:ascii="Arial" w:hAnsi="Arial" w:cs="Arial"/>
          <w:sz w:val="24"/>
          <w:szCs w:val="24"/>
        </w:rPr>
        <w:t>”</w:t>
      </w:r>
    </w:p>
    <w:p w:rsidR="002E78FA" w:rsidRPr="008F486E" w:rsidRDefault="008F486E" w:rsidP="008F486E">
      <w:pPr>
        <w:spacing w:line="360" w:lineRule="auto"/>
        <w:jc w:val="both"/>
        <w:rPr>
          <w:rFonts w:ascii="Arial" w:hAnsi="Arial" w:cs="Arial"/>
          <w:sz w:val="24"/>
          <w:szCs w:val="24"/>
          <w:lang w:val="en-US"/>
        </w:rPr>
      </w:pPr>
      <w:hyperlink r:id="rId12" w:history="1">
        <w:r w:rsidR="002E78FA" w:rsidRPr="008F486E">
          <w:rPr>
            <w:rStyle w:val="Hipervnculo"/>
            <w:rFonts w:ascii="Arial" w:hAnsi="Arial" w:cs="Arial"/>
            <w:i/>
            <w:color w:val="auto"/>
            <w:sz w:val="24"/>
            <w:szCs w:val="24"/>
            <w:u w:val="none"/>
          </w:rPr>
          <w:t>http://law.leiden.edu/organisation/publiclaw/iiasl/working-group/the-hague-space-resources-governance-working-group.html</w:t>
        </w:r>
      </w:hyperlink>
      <w:r w:rsidR="002E78FA" w:rsidRPr="008F486E">
        <w:rPr>
          <w:rFonts w:ascii="Arial" w:hAnsi="Arial" w:cs="Arial"/>
          <w:sz w:val="24"/>
          <w:szCs w:val="24"/>
        </w:rPr>
        <w:t xml:space="preserve">. </w:t>
      </w:r>
      <w:r w:rsidR="000D19E7" w:rsidRPr="008F486E">
        <w:rPr>
          <w:rFonts w:ascii="Arial" w:hAnsi="Arial" w:cs="Arial"/>
          <w:sz w:val="24"/>
          <w:szCs w:val="24"/>
          <w:lang w:val="en-US"/>
        </w:rPr>
        <w:t>“</w:t>
      </w:r>
      <w:r w:rsidR="002E78FA" w:rsidRPr="008F486E">
        <w:rPr>
          <w:rFonts w:ascii="Arial" w:hAnsi="Arial" w:cs="Arial"/>
          <w:sz w:val="24"/>
          <w:szCs w:val="24"/>
          <w:lang w:val="en-US"/>
        </w:rPr>
        <w:t>The Hague Space Resources Governance Working Group</w:t>
      </w:r>
      <w:r w:rsidR="000D19E7" w:rsidRPr="008F486E">
        <w:rPr>
          <w:rFonts w:ascii="Arial" w:hAnsi="Arial" w:cs="Arial"/>
          <w:sz w:val="24"/>
          <w:szCs w:val="24"/>
          <w:lang w:val="en-US"/>
        </w:rPr>
        <w:t>”</w:t>
      </w:r>
    </w:p>
    <w:p w:rsidR="00BC69EB" w:rsidRPr="008F486E" w:rsidRDefault="008F486E" w:rsidP="008F486E">
      <w:pPr>
        <w:spacing w:line="360" w:lineRule="auto"/>
        <w:jc w:val="both"/>
        <w:rPr>
          <w:rFonts w:ascii="Arial" w:hAnsi="Arial" w:cs="Arial"/>
          <w:b/>
          <w:i/>
          <w:sz w:val="24"/>
          <w:szCs w:val="24"/>
          <w:lang w:val="en-US"/>
        </w:rPr>
      </w:pPr>
      <w:hyperlink r:id="rId13" w:history="1">
        <w:r w:rsidR="00BC69EB" w:rsidRPr="008F486E">
          <w:rPr>
            <w:rStyle w:val="Hipervnculo"/>
            <w:rFonts w:ascii="Arial" w:hAnsi="Arial" w:cs="Arial"/>
            <w:i/>
            <w:color w:val="auto"/>
            <w:sz w:val="24"/>
            <w:szCs w:val="24"/>
            <w:u w:val="none"/>
            <w:lang w:val="en-US"/>
          </w:rPr>
          <w:t>http://portal.unesco.org/es/ev.php</w:t>
        </w:r>
      </w:hyperlink>
      <w:r w:rsidR="00BC69EB" w:rsidRPr="008F486E">
        <w:rPr>
          <w:rFonts w:ascii="Arial" w:hAnsi="Arial" w:cs="Arial"/>
          <w:i/>
          <w:sz w:val="24"/>
          <w:szCs w:val="24"/>
          <w:lang w:val="en-US"/>
        </w:rPr>
        <w:t xml:space="preserve">. </w:t>
      </w:r>
    </w:p>
    <w:p w:rsidR="00BC69EB" w:rsidRPr="008F486E" w:rsidRDefault="008F486E" w:rsidP="008F486E">
      <w:pPr>
        <w:spacing w:line="360" w:lineRule="auto"/>
        <w:jc w:val="both"/>
        <w:rPr>
          <w:rFonts w:ascii="Arial" w:hAnsi="Arial" w:cs="Arial"/>
          <w:i/>
          <w:sz w:val="24"/>
          <w:szCs w:val="24"/>
        </w:rPr>
      </w:pPr>
      <w:hyperlink r:id="rId14" w:history="1">
        <w:r w:rsidR="002E78FA" w:rsidRPr="008F486E">
          <w:rPr>
            <w:rStyle w:val="Hipervnculo"/>
            <w:rFonts w:ascii="Arial" w:hAnsi="Arial" w:cs="Arial"/>
            <w:i/>
            <w:color w:val="auto"/>
            <w:sz w:val="24"/>
            <w:szCs w:val="24"/>
            <w:u w:val="none"/>
            <w:lang w:val="en-US"/>
          </w:rPr>
          <w:t>http://unpan1.un.org/intradoc/groups/public/documents/un/unpan001994.pdf</w:t>
        </w:r>
      </w:hyperlink>
      <w:r w:rsidR="00251958" w:rsidRPr="008F486E">
        <w:rPr>
          <w:rFonts w:ascii="Arial" w:hAnsi="Arial" w:cs="Arial"/>
          <w:b/>
          <w:i/>
          <w:sz w:val="24"/>
          <w:szCs w:val="24"/>
          <w:lang w:val="en-US"/>
        </w:rPr>
        <w:t>.</w:t>
      </w:r>
      <w:r w:rsidR="00251958" w:rsidRPr="008F486E">
        <w:rPr>
          <w:rFonts w:ascii="Arial" w:hAnsi="Arial" w:cs="Arial"/>
          <w:b/>
          <w:sz w:val="24"/>
          <w:szCs w:val="24"/>
          <w:lang w:val="en-US"/>
        </w:rPr>
        <w:t xml:space="preserve"> </w:t>
      </w:r>
      <w:r w:rsidR="000D19E7" w:rsidRPr="008F486E">
        <w:rPr>
          <w:rFonts w:ascii="Arial" w:hAnsi="Arial" w:cs="Arial"/>
          <w:b/>
          <w:sz w:val="24"/>
          <w:szCs w:val="24"/>
        </w:rPr>
        <w:t>“</w:t>
      </w:r>
      <w:r w:rsidR="002E78FA" w:rsidRPr="008F486E">
        <w:rPr>
          <w:rFonts w:ascii="Arial" w:hAnsi="Arial" w:cs="Arial"/>
          <w:sz w:val="24"/>
          <w:szCs w:val="24"/>
        </w:rPr>
        <w:t>Discurso de S.E. D. Jesús Posada Moreno (Ministro de Administraciones Públicas de España), “Globalización e integración regional”, Asamblea General de las Naciones Unidas, Segunda Comisión, Grupo de discusión sobre globalización y Estado, 2 de noviembre de 2001</w:t>
      </w:r>
      <w:r w:rsidR="000D19E7" w:rsidRPr="008F486E">
        <w:rPr>
          <w:rFonts w:ascii="Arial" w:hAnsi="Arial" w:cs="Arial"/>
          <w:sz w:val="24"/>
          <w:szCs w:val="24"/>
        </w:rPr>
        <w:t>”</w:t>
      </w:r>
      <w:r w:rsidR="002E78FA" w:rsidRPr="008F486E">
        <w:rPr>
          <w:rFonts w:ascii="Arial" w:hAnsi="Arial" w:cs="Arial"/>
          <w:sz w:val="24"/>
          <w:szCs w:val="24"/>
        </w:rPr>
        <w:t>.</w:t>
      </w:r>
    </w:p>
    <w:p w:rsidR="00BC69EB" w:rsidRPr="008F486E" w:rsidRDefault="008F486E" w:rsidP="008F486E">
      <w:pPr>
        <w:spacing w:line="360" w:lineRule="auto"/>
        <w:jc w:val="both"/>
        <w:rPr>
          <w:rFonts w:ascii="Arial" w:hAnsi="Arial" w:cs="Arial"/>
          <w:i/>
          <w:sz w:val="24"/>
          <w:szCs w:val="24"/>
        </w:rPr>
      </w:pPr>
      <w:hyperlink r:id="rId15" w:history="1">
        <w:r w:rsidR="00BC69EB" w:rsidRPr="008F486E">
          <w:rPr>
            <w:rStyle w:val="Hipervnculo"/>
            <w:rFonts w:ascii="Arial" w:hAnsi="Arial" w:cs="Arial"/>
            <w:i/>
            <w:color w:val="auto"/>
            <w:sz w:val="24"/>
            <w:szCs w:val="24"/>
            <w:u w:val="none"/>
          </w:rPr>
          <w:t>http://www.afese.com/img/revistas/revista50/prefutesp.pdf</w:t>
        </w:r>
      </w:hyperlink>
      <w:r w:rsidR="00BC69EB" w:rsidRPr="008F486E">
        <w:rPr>
          <w:rFonts w:ascii="Arial" w:hAnsi="Arial" w:cs="Arial"/>
          <w:i/>
          <w:sz w:val="24"/>
          <w:szCs w:val="24"/>
        </w:rPr>
        <w:t xml:space="preserve">. </w:t>
      </w:r>
      <w:r w:rsidR="00BC69EB" w:rsidRPr="008F486E">
        <w:rPr>
          <w:rFonts w:ascii="Arial" w:hAnsi="Arial" w:cs="Arial"/>
          <w:sz w:val="24"/>
          <w:szCs w:val="24"/>
        </w:rPr>
        <w:t xml:space="preserve">Jaime </w:t>
      </w:r>
      <w:proofErr w:type="spellStart"/>
      <w:r w:rsidR="00BC69EB" w:rsidRPr="008F486E">
        <w:rPr>
          <w:rFonts w:ascii="Arial" w:hAnsi="Arial" w:cs="Arial"/>
          <w:sz w:val="24"/>
          <w:szCs w:val="24"/>
        </w:rPr>
        <w:t>Barberís</w:t>
      </w:r>
      <w:proofErr w:type="spellEnd"/>
      <w:r w:rsidR="00BC69EB" w:rsidRPr="008F486E">
        <w:rPr>
          <w:rFonts w:ascii="Arial" w:hAnsi="Arial" w:cs="Arial"/>
          <w:sz w:val="24"/>
          <w:szCs w:val="24"/>
        </w:rPr>
        <w:t xml:space="preserve"> </w:t>
      </w:r>
      <w:proofErr w:type="spellStart"/>
      <w:r w:rsidR="00BC69EB" w:rsidRPr="008F486E">
        <w:rPr>
          <w:rFonts w:ascii="Arial" w:hAnsi="Arial" w:cs="Arial"/>
          <w:sz w:val="24"/>
          <w:szCs w:val="24"/>
        </w:rPr>
        <w:t>Martinez</w:t>
      </w:r>
      <w:proofErr w:type="spellEnd"/>
      <w:r w:rsidR="00BC69EB" w:rsidRPr="008F486E">
        <w:rPr>
          <w:rFonts w:ascii="Arial" w:hAnsi="Arial" w:cs="Arial"/>
          <w:sz w:val="24"/>
          <w:szCs w:val="24"/>
        </w:rPr>
        <w:t>, “Presente y futuro de la Conferencia Espacial de las Américas”.</w:t>
      </w:r>
    </w:p>
    <w:p w:rsidR="002E78FA" w:rsidRPr="008F486E" w:rsidRDefault="008F486E" w:rsidP="008F486E">
      <w:pPr>
        <w:spacing w:line="360" w:lineRule="auto"/>
        <w:jc w:val="both"/>
        <w:rPr>
          <w:rFonts w:ascii="Arial" w:hAnsi="Arial" w:cs="Arial"/>
          <w:sz w:val="24"/>
          <w:szCs w:val="24"/>
        </w:rPr>
      </w:pPr>
      <w:hyperlink r:id="rId16" w:history="1">
        <w:r w:rsidR="002E78FA" w:rsidRPr="008F486E">
          <w:rPr>
            <w:rStyle w:val="Hipervnculo"/>
            <w:rFonts w:ascii="Arial" w:hAnsi="Arial" w:cs="Arial"/>
            <w:i/>
            <w:color w:val="auto"/>
            <w:sz w:val="24"/>
            <w:szCs w:val="24"/>
            <w:u w:val="none"/>
          </w:rPr>
          <w:t>http://www.cartadelatierra.com</w:t>
        </w:r>
      </w:hyperlink>
      <w:r w:rsidR="002E78FA" w:rsidRPr="008F486E">
        <w:rPr>
          <w:rFonts w:ascii="Arial" w:hAnsi="Arial" w:cs="Arial"/>
          <w:i/>
          <w:sz w:val="24"/>
          <w:szCs w:val="24"/>
        </w:rPr>
        <w:t>.</w:t>
      </w:r>
      <w:r w:rsidR="00251958" w:rsidRPr="008F486E">
        <w:rPr>
          <w:rFonts w:ascii="Arial" w:hAnsi="Arial" w:cs="Arial"/>
          <w:sz w:val="24"/>
          <w:szCs w:val="24"/>
        </w:rPr>
        <w:t xml:space="preserve"> </w:t>
      </w:r>
      <w:r w:rsidR="000D19E7" w:rsidRPr="008F486E">
        <w:rPr>
          <w:rFonts w:ascii="Arial" w:hAnsi="Arial" w:cs="Arial"/>
          <w:sz w:val="24"/>
          <w:szCs w:val="24"/>
        </w:rPr>
        <w:t>“</w:t>
      </w:r>
      <w:r w:rsidR="00251958" w:rsidRPr="008F486E">
        <w:rPr>
          <w:rFonts w:ascii="Arial" w:hAnsi="Arial" w:cs="Arial"/>
          <w:sz w:val="24"/>
          <w:szCs w:val="24"/>
        </w:rPr>
        <w:t>La carta de la Tierra</w:t>
      </w:r>
      <w:r w:rsidR="000D19E7" w:rsidRPr="008F486E">
        <w:rPr>
          <w:rFonts w:ascii="Arial" w:hAnsi="Arial" w:cs="Arial"/>
          <w:sz w:val="24"/>
          <w:szCs w:val="24"/>
        </w:rPr>
        <w:t>”</w:t>
      </w:r>
      <w:r w:rsidR="00251958" w:rsidRPr="008F486E">
        <w:rPr>
          <w:rFonts w:ascii="Arial" w:hAnsi="Arial" w:cs="Arial"/>
          <w:sz w:val="24"/>
          <w:szCs w:val="24"/>
        </w:rPr>
        <w:t>.</w:t>
      </w:r>
    </w:p>
    <w:p w:rsidR="00BC69EB" w:rsidRPr="008F486E" w:rsidRDefault="008F486E" w:rsidP="008F486E">
      <w:pPr>
        <w:spacing w:line="360" w:lineRule="auto"/>
        <w:jc w:val="both"/>
        <w:rPr>
          <w:rFonts w:ascii="Arial" w:hAnsi="Arial" w:cs="Arial"/>
          <w:sz w:val="24"/>
          <w:szCs w:val="24"/>
          <w:lang w:val="en-US"/>
        </w:rPr>
      </w:pPr>
      <w:hyperlink r:id="rId17" w:history="1">
        <w:r w:rsidR="00BC69EB" w:rsidRPr="008F486E">
          <w:rPr>
            <w:rStyle w:val="Hipervnculo"/>
            <w:rFonts w:ascii="Arial" w:hAnsi="Arial" w:cs="Arial"/>
            <w:i/>
            <w:color w:val="auto"/>
            <w:sz w:val="24"/>
            <w:szCs w:val="24"/>
            <w:u w:val="none"/>
          </w:rPr>
          <w:t>https://www.congress.gov/114/plaws/publ90/PLAW-114publ90.pdf</w:t>
        </w:r>
      </w:hyperlink>
      <w:r w:rsidR="00BC69EB" w:rsidRPr="008F486E">
        <w:rPr>
          <w:rFonts w:ascii="Arial" w:hAnsi="Arial" w:cs="Arial"/>
          <w:i/>
          <w:sz w:val="24"/>
          <w:szCs w:val="24"/>
        </w:rPr>
        <w:t>.</w:t>
      </w:r>
      <w:r w:rsidR="00BC69EB" w:rsidRPr="008F486E">
        <w:rPr>
          <w:rFonts w:ascii="Arial" w:hAnsi="Arial" w:cs="Arial"/>
          <w:sz w:val="24"/>
          <w:szCs w:val="24"/>
        </w:rPr>
        <w:t xml:space="preserve">  </w:t>
      </w:r>
      <w:proofErr w:type="gramStart"/>
      <w:r w:rsidR="000D19E7" w:rsidRPr="008F486E">
        <w:rPr>
          <w:rFonts w:ascii="Arial" w:hAnsi="Arial" w:cs="Arial"/>
          <w:sz w:val="24"/>
          <w:szCs w:val="24"/>
          <w:lang w:val="en-US"/>
        </w:rPr>
        <w:t>“</w:t>
      </w:r>
      <w:r w:rsidR="00BC69EB" w:rsidRPr="008F486E">
        <w:rPr>
          <w:rFonts w:ascii="Arial" w:hAnsi="Arial" w:cs="Arial"/>
          <w:sz w:val="24"/>
          <w:szCs w:val="24"/>
          <w:lang w:val="en-US"/>
        </w:rPr>
        <w:t>US.</w:t>
      </w:r>
      <w:proofErr w:type="gramEnd"/>
      <w:r w:rsidR="00BC69EB" w:rsidRPr="008F486E">
        <w:rPr>
          <w:rFonts w:ascii="Arial" w:hAnsi="Arial" w:cs="Arial"/>
          <w:sz w:val="24"/>
          <w:szCs w:val="24"/>
          <w:lang w:val="en-US"/>
        </w:rPr>
        <w:t xml:space="preserve"> Commercial Space Launch </w:t>
      </w:r>
      <w:proofErr w:type="spellStart"/>
      <w:r w:rsidR="00BC69EB" w:rsidRPr="008F486E">
        <w:rPr>
          <w:rFonts w:ascii="Arial" w:hAnsi="Arial" w:cs="Arial"/>
          <w:sz w:val="24"/>
          <w:szCs w:val="24"/>
          <w:lang w:val="en-US"/>
        </w:rPr>
        <w:t>Competitiviness</w:t>
      </w:r>
      <w:proofErr w:type="spellEnd"/>
      <w:r w:rsidR="00BC69EB" w:rsidRPr="008F486E">
        <w:rPr>
          <w:rFonts w:ascii="Arial" w:hAnsi="Arial" w:cs="Arial"/>
          <w:sz w:val="24"/>
          <w:szCs w:val="24"/>
          <w:lang w:val="en-US"/>
        </w:rPr>
        <w:t xml:space="preserve"> Act (H.R. 2262). 114 Congress (2015-2016). </w:t>
      </w:r>
      <w:proofErr w:type="gramStart"/>
      <w:r w:rsidR="00BC69EB" w:rsidRPr="008F486E">
        <w:rPr>
          <w:rFonts w:ascii="Arial" w:hAnsi="Arial" w:cs="Arial"/>
          <w:sz w:val="24"/>
          <w:szCs w:val="24"/>
          <w:lang w:val="en-US"/>
        </w:rPr>
        <w:t>Public Law 114-90 Nov, 25, 2015</w:t>
      </w:r>
      <w:r w:rsidR="000D19E7" w:rsidRPr="008F486E">
        <w:rPr>
          <w:rFonts w:ascii="Arial" w:hAnsi="Arial" w:cs="Arial"/>
          <w:sz w:val="24"/>
          <w:szCs w:val="24"/>
          <w:lang w:val="en-US"/>
        </w:rPr>
        <w:t>”</w:t>
      </w:r>
      <w:r w:rsidR="00BC69EB" w:rsidRPr="008F486E">
        <w:rPr>
          <w:rFonts w:ascii="Arial" w:hAnsi="Arial" w:cs="Arial"/>
          <w:sz w:val="24"/>
          <w:szCs w:val="24"/>
          <w:lang w:val="en-US"/>
        </w:rPr>
        <w:t>.</w:t>
      </w:r>
      <w:proofErr w:type="gramEnd"/>
    </w:p>
    <w:p w:rsidR="00BC69EB" w:rsidRPr="008F486E" w:rsidRDefault="00BC69EB" w:rsidP="008F486E">
      <w:pPr>
        <w:spacing w:line="360" w:lineRule="auto"/>
        <w:jc w:val="both"/>
        <w:rPr>
          <w:rFonts w:ascii="Arial" w:hAnsi="Arial" w:cs="Arial"/>
          <w:i/>
          <w:sz w:val="24"/>
          <w:szCs w:val="24"/>
        </w:rPr>
      </w:pPr>
      <w:r w:rsidRPr="008F486E">
        <w:rPr>
          <w:rFonts w:ascii="Arial" w:hAnsi="Arial" w:cs="Arial"/>
          <w:i/>
          <w:sz w:val="24"/>
          <w:szCs w:val="24"/>
          <w:lang w:val="en-US"/>
        </w:rPr>
        <w:t xml:space="preserve">http://www.consilium.europa.eu/es/press/press-releases/2017/11/30/digital-single-gateway-council-agrees-to-make-access-to-information-and-services-easier/. </w:t>
      </w:r>
      <w:r w:rsidR="000D19E7" w:rsidRPr="008F486E">
        <w:rPr>
          <w:rFonts w:ascii="Arial" w:hAnsi="Arial" w:cs="Arial"/>
          <w:i/>
          <w:sz w:val="24"/>
          <w:szCs w:val="24"/>
        </w:rPr>
        <w:t>“</w:t>
      </w:r>
      <w:r w:rsidRPr="008F486E">
        <w:rPr>
          <w:rFonts w:ascii="Arial" w:hAnsi="Arial" w:cs="Arial"/>
          <w:sz w:val="24"/>
          <w:szCs w:val="24"/>
        </w:rPr>
        <w:t>Orientaciones generales, de 31 de noviembre de 2017, sobre la creación de un portal digital único europeo</w:t>
      </w:r>
      <w:r w:rsidR="000D19E7" w:rsidRPr="008F486E">
        <w:rPr>
          <w:rFonts w:ascii="Arial" w:hAnsi="Arial" w:cs="Arial"/>
          <w:sz w:val="24"/>
          <w:szCs w:val="24"/>
        </w:rPr>
        <w:t>”</w:t>
      </w:r>
      <w:r w:rsidRPr="008F486E">
        <w:rPr>
          <w:rFonts w:ascii="Arial" w:hAnsi="Arial" w:cs="Arial"/>
          <w:sz w:val="24"/>
          <w:szCs w:val="24"/>
        </w:rPr>
        <w:t>.</w:t>
      </w:r>
    </w:p>
    <w:p w:rsidR="00BC69EB" w:rsidRPr="008F486E" w:rsidRDefault="008F486E" w:rsidP="008F486E">
      <w:pPr>
        <w:spacing w:line="360" w:lineRule="auto"/>
        <w:jc w:val="both"/>
        <w:rPr>
          <w:rFonts w:ascii="Arial" w:hAnsi="Arial" w:cs="Arial"/>
          <w:sz w:val="24"/>
          <w:szCs w:val="24"/>
        </w:rPr>
      </w:pPr>
      <w:hyperlink r:id="rId18" w:history="1">
        <w:r w:rsidR="00BC69EB" w:rsidRPr="008F486E">
          <w:rPr>
            <w:rStyle w:val="Hipervnculo"/>
            <w:rFonts w:ascii="Arial" w:hAnsi="Arial" w:cs="Arial"/>
            <w:i/>
            <w:color w:val="auto"/>
            <w:sz w:val="24"/>
            <w:szCs w:val="24"/>
            <w:u w:val="none"/>
          </w:rPr>
          <w:t>http://www.consilium.europa.eu/es/press/press-releases/2017/12/01/the-mid-term-evaluation-of-the-copernicus-programme-council-adopts-conclusions/pdf</w:t>
        </w:r>
      </w:hyperlink>
      <w:r w:rsidR="00BC69EB" w:rsidRPr="008F486E">
        <w:rPr>
          <w:rFonts w:ascii="Arial" w:hAnsi="Arial" w:cs="Arial"/>
          <w:sz w:val="24"/>
          <w:szCs w:val="24"/>
        </w:rPr>
        <w:t xml:space="preserve">.  </w:t>
      </w:r>
      <w:r w:rsidR="000D19E7" w:rsidRPr="008F486E">
        <w:rPr>
          <w:rFonts w:ascii="Arial" w:hAnsi="Arial" w:cs="Arial"/>
          <w:sz w:val="24"/>
          <w:szCs w:val="24"/>
        </w:rPr>
        <w:t>“</w:t>
      </w:r>
      <w:r w:rsidR="00BC69EB" w:rsidRPr="008F486E">
        <w:rPr>
          <w:rFonts w:ascii="Arial" w:hAnsi="Arial" w:cs="Arial"/>
          <w:sz w:val="24"/>
          <w:szCs w:val="24"/>
        </w:rPr>
        <w:t xml:space="preserve">Consejo de la Unión Europea, Comunicado de Prensa 717/17, de 1 de diciembre de 2017, Programa espacial </w:t>
      </w:r>
      <w:proofErr w:type="spellStart"/>
      <w:r w:rsidR="00BC69EB" w:rsidRPr="008F486E">
        <w:rPr>
          <w:rFonts w:ascii="Arial" w:hAnsi="Arial" w:cs="Arial"/>
          <w:sz w:val="24"/>
          <w:szCs w:val="24"/>
        </w:rPr>
        <w:t>Copernicus</w:t>
      </w:r>
      <w:proofErr w:type="spellEnd"/>
      <w:r w:rsidR="00BC69EB" w:rsidRPr="008F486E">
        <w:rPr>
          <w:rFonts w:ascii="Arial" w:hAnsi="Arial" w:cs="Arial"/>
          <w:sz w:val="24"/>
          <w:szCs w:val="24"/>
        </w:rPr>
        <w:t>: Conclusiones sobre la evaluación intermedia</w:t>
      </w:r>
      <w:r w:rsidR="000D19E7" w:rsidRPr="008F486E">
        <w:rPr>
          <w:rFonts w:ascii="Arial" w:hAnsi="Arial" w:cs="Arial"/>
          <w:sz w:val="24"/>
          <w:szCs w:val="24"/>
        </w:rPr>
        <w:t>”</w:t>
      </w:r>
      <w:r w:rsidR="00BC69EB" w:rsidRPr="008F486E">
        <w:rPr>
          <w:rFonts w:ascii="Arial" w:hAnsi="Arial" w:cs="Arial"/>
          <w:sz w:val="24"/>
          <w:szCs w:val="24"/>
        </w:rPr>
        <w:t>.</w:t>
      </w:r>
    </w:p>
    <w:p w:rsidR="00BC69EB" w:rsidRPr="008F486E" w:rsidRDefault="008F486E" w:rsidP="008F486E">
      <w:pPr>
        <w:spacing w:line="360" w:lineRule="auto"/>
        <w:jc w:val="both"/>
        <w:rPr>
          <w:rFonts w:ascii="Arial" w:hAnsi="Arial" w:cs="Arial"/>
          <w:i/>
          <w:sz w:val="24"/>
          <w:szCs w:val="24"/>
        </w:rPr>
      </w:pPr>
      <w:hyperlink r:id="rId19" w:history="1">
        <w:r w:rsidR="00BC69EB" w:rsidRPr="008F486E">
          <w:rPr>
            <w:rStyle w:val="Hipervnculo"/>
            <w:rFonts w:ascii="Arial" w:hAnsi="Arial" w:cs="Arial"/>
            <w:i/>
            <w:color w:val="auto"/>
            <w:sz w:val="24"/>
            <w:szCs w:val="24"/>
            <w:u w:val="none"/>
          </w:rPr>
          <w:t>http://www.defensa.gob.es/Galerias/dgamdocs/plan-director-sistemas-espaciales.pdf</w:t>
        </w:r>
      </w:hyperlink>
      <w:r w:rsidR="00BC69EB" w:rsidRPr="008F486E">
        <w:rPr>
          <w:rFonts w:ascii="Arial" w:hAnsi="Arial" w:cs="Arial"/>
          <w:i/>
          <w:sz w:val="24"/>
          <w:szCs w:val="24"/>
        </w:rPr>
        <w:t xml:space="preserve">. </w:t>
      </w:r>
    </w:p>
    <w:p w:rsidR="00BC69EB" w:rsidRPr="008F486E" w:rsidRDefault="008F486E" w:rsidP="008F486E">
      <w:pPr>
        <w:spacing w:line="360" w:lineRule="auto"/>
        <w:jc w:val="both"/>
        <w:rPr>
          <w:rFonts w:ascii="Arial" w:hAnsi="Arial" w:cs="Arial"/>
          <w:sz w:val="24"/>
          <w:szCs w:val="24"/>
        </w:rPr>
      </w:pPr>
      <w:hyperlink r:id="rId20" w:history="1">
        <w:r w:rsidR="00BC69EB" w:rsidRPr="008F486E">
          <w:rPr>
            <w:rStyle w:val="Hipervnculo"/>
            <w:rFonts w:ascii="Arial" w:hAnsi="Arial" w:cs="Arial"/>
            <w:i/>
            <w:color w:val="auto"/>
            <w:sz w:val="24"/>
            <w:szCs w:val="24"/>
            <w:u w:val="none"/>
          </w:rPr>
          <w:t>https://www.eda.europa.eu/info-hub/press-centre/latest-news/2017/06/16/14-eda-member-states-to-pool-share-govsatcom-capabilities</w:t>
        </w:r>
      </w:hyperlink>
      <w:r w:rsidR="00BC69EB" w:rsidRPr="008F486E">
        <w:rPr>
          <w:rFonts w:ascii="Arial" w:hAnsi="Arial" w:cs="Arial"/>
          <w:sz w:val="24"/>
          <w:szCs w:val="24"/>
        </w:rPr>
        <w:t xml:space="preserve">. </w:t>
      </w:r>
      <w:r w:rsidR="000D19E7" w:rsidRPr="008F486E">
        <w:rPr>
          <w:rFonts w:ascii="Arial" w:hAnsi="Arial" w:cs="Arial"/>
          <w:sz w:val="24"/>
          <w:szCs w:val="24"/>
        </w:rPr>
        <w:t>“</w:t>
      </w:r>
      <w:proofErr w:type="spellStart"/>
      <w:r w:rsidR="00BC69EB" w:rsidRPr="008F486E">
        <w:rPr>
          <w:rFonts w:ascii="Arial" w:hAnsi="Arial" w:cs="Arial"/>
          <w:sz w:val="24"/>
          <w:szCs w:val="24"/>
        </w:rPr>
        <w:t>GovSatCom</w:t>
      </w:r>
      <w:proofErr w:type="spellEnd"/>
      <w:r w:rsidR="000D19E7" w:rsidRPr="008F486E">
        <w:rPr>
          <w:rFonts w:ascii="Arial" w:hAnsi="Arial" w:cs="Arial"/>
          <w:sz w:val="24"/>
          <w:szCs w:val="24"/>
        </w:rPr>
        <w:t>”</w:t>
      </w:r>
      <w:r w:rsidR="00BC69EB" w:rsidRPr="008F486E">
        <w:rPr>
          <w:rFonts w:ascii="Arial" w:hAnsi="Arial" w:cs="Arial"/>
          <w:sz w:val="24"/>
          <w:szCs w:val="24"/>
        </w:rPr>
        <w:t>.</w:t>
      </w:r>
    </w:p>
    <w:p w:rsidR="00BC69EB" w:rsidRPr="008F486E" w:rsidRDefault="008F486E" w:rsidP="008F486E">
      <w:pPr>
        <w:spacing w:line="360" w:lineRule="auto"/>
        <w:jc w:val="both"/>
        <w:rPr>
          <w:rFonts w:ascii="Arial" w:hAnsi="Arial" w:cs="Arial"/>
          <w:sz w:val="24"/>
          <w:szCs w:val="24"/>
        </w:rPr>
      </w:pPr>
      <w:hyperlink r:id="rId21" w:history="1">
        <w:r w:rsidR="00BC69EB" w:rsidRPr="008F486E">
          <w:rPr>
            <w:rStyle w:val="Hipervnculo"/>
            <w:rFonts w:ascii="Arial" w:hAnsi="Arial" w:cs="Arial"/>
            <w:i/>
            <w:color w:val="auto"/>
            <w:sz w:val="24"/>
            <w:szCs w:val="24"/>
            <w:u w:val="none"/>
          </w:rPr>
          <w:t>https://www.enaire.es/cielo_%C3%BAnico_europeo</w:t>
        </w:r>
      </w:hyperlink>
      <w:r w:rsidR="00BC69EB" w:rsidRPr="008F486E">
        <w:rPr>
          <w:rFonts w:ascii="Arial" w:hAnsi="Arial" w:cs="Arial"/>
          <w:i/>
          <w:sz w:val="24"/>
          <w:szCs w:val="24"/>
        </w:rPr>
        <w:t>.</w:t>
      </w:r>
      <w:r w:rsidR="00BC69EB" w:rsidRPr="008F486E">
        <w:rPr>
          <w:rFonts w:ascii="Arial" w:hAnsi="Arial" w:cs="Arial"/>
          <w:sz w:val="24"/>
          <w:szCs w:val="24"/>
        </w:rPr>
        <w:t xml:space="preserve"> </w:t>
      </w:r>
      <w:r w:rsidR="000D19E7" w:rsidRPr="008F486E">
        <w:rPr>
          <w:rFonts w:ascii="Arial" w:hAnsi="Arial" w:cs="Arial"/>
          <w:sz w:val="24"/>
          <w:szCs w:val="24"/>
        </w:rPr>
        <w:t>“</w:t>
      </w:r>
      <w:r w:rsidR="00BC69EB" w:rsidRPr="008F486E">
        <w:rPr>
          <w:rFonts w:ascii="Arial" w:hAnsi="Arial" w:cs="Arial"/>
          <w:sz w:val="24"/>
          <w:szCs w:val="24"/>
        </w:rPr>
        <w:t xml:space="preserve">Cielo Único Europeo (Single </w:t>
      </w:r>
      <w:proofErr w:type="spellStart"/>
      <w:r w:rsidR="00BC69EB" w:rsidRPr="008F486E">
        <w:rPr>
          <w:rFonts w:ascii="Arial" w:hAnsi="Arial" w:cs="Arial"/>
          <w:sz w:val="24"/>
          <w:szCs w:val="24"/>
        </w:rPr>
        <w:t>European</w:t>
      </w:r>
      <w:proofErr w:type="spellEnd"/>
      <w:r w:rsidR="00BC69EB" w:rsidRPr="008F486E">
        <w:rPr>
          <w:rFonts w:ascii="Arial" w:hAnsi="Arial" w:cs="Arial"/>
          <w:sz w:val="24"/>
          <w:szCs w:val="24"/>
        </w:rPr>
        <w:t xml:space="preserve"> </w:t>
      </w:r>
      <w:proofErr w:type="spellStart"/>
      <w:r w:rsidR="00BC69EB" w:rsidRPr="008F486E">
        <w:rPr>
          <w:rFonts w:ascii="Arial" w:hAnsi="Arial" w:cs="Arial"/>
          <w:sz w:val="24"/>
          <w:szCs w:val="24"/>
        </w:rPr>
        <w:t>Sky</w:t>
      </w:r>
      <w:proofErr w:type="spellEnd"/>
      <w:r w:rsidR="00BC69EB" w:rsidRPr="008F486E">
        <w:rPr>
          <w:rFonts w:ascii="Arial" w:hAnsi="Arial" w:cs="Arial"/>
          <w:sz w:val="24"/>
          <w:szCs w:val="24"/>
        </w:rPr>
        <w:t>, SES</w:t>
      </w:r>
      <w:r w:rsidR="000D19E7" w:rsidRPr="008F486E">
        <w:rPr>
          <w:rFonts w:ascii="Arial" w:hAnsi="Arial" w:cs="Arial"/>
          <w:sz w:val="24"/>
          <w:szCs w:val="24"/>
        </w:rPr>
        <w:t>”</w:t>
      </w:r>
      <w:r w:rsidR="00BC69EB" w:rsidRPr="008F486E">
        <w:rPr>
          <w:rFonts w:ascii="Arial" w:hAnsi="Arial" w:cs="Arial"/>
          <w:sz w:val="24"/>
          <w:szCs w:val="24"/>
        </w:rPr>
        <w:t>.</w:t>
      </w:r>
    </w:p>
    <w:p w:rsidR="00BC69EB" w:rsidRPr="008F486E" w:rsidRDefault="008F486E" w:rsidP="008F486E">
      <w:pPr>
        <w:spacing w:line="360" w:lineRule="auto"/>
        <w:jc w:val="both"/>
        <w:rPr>
          <w:rFonts w:ascii="Arial" w:hAnsi="Arial" w:cs="Arial"/>
          <w:sz w:val="24"/>
          <w:szCs w:val="24"/>
          <w:lang w:val="en-US"/>
        </w:rPr>
      </w:pPr>
      <w:hyperlink r:id="rId22" w:history="1">
        <w:r w:rsidR="00BC69EB" w:rsidRPr="008F486E">
          <w:rPr>
            <w:rStyle w:val="Hipervnculo"/>
            <w:rFonts w:ascii="Arial" w:hAnsi="Arial" w:cs="Arial"/>
            <w:i/>
            <w:color w:val="auto"/>
            <w:sz w:val="24"/>
            <w:szCs w:val="24"/>
            <w:u w:val="none"/>
          </w:rPr>
          <w:t>http://www.esa.int/Our_Activities/Navigation/NAVISP</w:t>
        </w:r>
      </w:hyperlink>
      <w:r w:rsidR="00BC69EB" w:rsidRPr="008F486E">
        <w:rPr>
          <w:rFonts w:ascii="Arial" w:hAnsi="Arial" w:cs="Arial"/>
          <w:sz w:val="24"/>
          <w:szCs w:val="24"/>
        </w:rPr>
        <w:t xml:space="preserve">. </w:t>
      </w:r>
      <w:r w:rsidR="00BC69EB" w:rsidRPr="008F486E">
        <w:rPr>
          <w:rFonts w:ascii="Arial" w:hAnsi="Arial" w:cs="Arial"/>
          <w:sz w:val="24"/>
          <w:szCs w:val="24"/>
          <w:lang w:val="en-US"/>
        </w:rPr>
        <w:t>NAVISP</w:t>
      </w:r>
    </w:p>
    <w:p w:rsidR="002E78FA" w:rsidRPr="008F486E" w:rsidRDefault="008F486E" w:rsidP="008F486E">
      <w:pPr>
        <w:spacing w:line="360" w:lineRule="auto"/>
        <w:jc w:val="both"/>
        <w:rPr>
          <w:rFonts w:ascii="Arial" w:hAnsi="Arial" w:cs="Arial"/>
          <w:sz w:val="24"/>
          <w:szCs w:val="24"/>
          <w:lang w:val="en-US"/>
        </w:rPr>
      </w:pPr>
      <w:hyperlink r:id="rId23" w:history="1">
        <w:r w:rsidR="00BC69EB" w:rsidRPr="008F486E">
          <w:rPr>
            <w:rStyle w:val="Hipervnculo"/>
            <w:rFonts w:ascii="Arial" w:hAnsi="Arial" w:cs="Arial"/>
            <w:i/>
            <w:color w:val="auto"/>
            <w:sz w:val="24"/>
            <w:szCs w:val="24"/>
            <w:u w:val="none"/>
            <w:lang w:val="en-US"/>
          </w:rPr>
          <w:t>http://www.hq.nasa.gov/officcecodei</w:t>
        </w:r>
      </w:hyperlink>
      <w:r w:rsidR="00BC69EB" w:rsidRPr="008F486E">
        <w:rPr>
          <w:rFonts w:ascii="Arial" w:hAnsi="Arial" w:cs="Arial"/>
          <w:i/>
          <w:sz w:val="24"/>
          <w:szCs w:val="24"/>
          <w:lang w:val="en-US"/>
        </w:rPr>
        <w:t xml:space="preserve">. </w:t>
      </w:r>
      <w:r w:rsidR="000D19E7" w:rsidRPr="008F486E">
        <w:rPr>
          <w:rFonts w:ascii="Arial" w:hAnsi="Arial" w:cs="Arial"/>
          <w:i/>
          <w:sz w:val="24"/>
          <w:szCs w:val="24"/>
          <w:lang w:val="en-US"/>
        </w:rPr>
        <w:t>“</w:t>
      </w:r>
      <w:r w:rsidR="00BC69EB" w:rsidRPr="008F486E">
        <w:rPr>
          <w:rFonts w:ascii="Arial" w:hAnsi="Arial" w:cs="Arial"/>
          <w:sz w:val="24"/>
          <w:szCs w:val="24"/>
          <w:lang w:val="en-US"/>
        </w:rPr>
        <w:t>International Space Station Crew Code of Conduct, of 15 September 2000</w:t>
      </w:r>
      <w:r w:rsidR="000D19E7" w:rsidRPr="008F486E">
        <w:rPr>
          <w:rFonts w:ascii="Arial" w:hAnsi="Arial" w:cs="Arial"/>
          <w:sz w:val="24"/>
          <w:szCs w:val="24"/>
          <w:lang w:val="en-US"/>
        </w:rPr>
        <w:t>”</w:t>
      </w:r>
      <w:r w:rsidR="00BC69EB" w:rsidRPr="008F486E">
        <w:rPr>
          <w:rFonts w:ascii="Arial" w:hAnsi="Arial" w:cs="Arial"/>
          <w:sz w:val="24"/>
          <w:szCs w:val="24"/>
          <w:lang w:val="en-US"/>
        </w:rPr>
        <w:t>.</w:t>
      </w:r>
    </w:p>
    <w:p w:rsidR="00161E02" w:rsidRPr="008F486E" w:rsidRDefault="000848C2" w:rsidP="008F486E">
      <w:pPr>
        <w:spacing w:line="360" w:lineRule="auto"/>
        <w:jc w:val="both"/>
        <w:rPr>
          <w:rFonts w:ascii="Arial" w:hAnsi="Arial" w:cs="Arial"/>
          <w:sz w:val="24"/>
          <w:szCs w:val="24"/>
        </w:rPr>
      </w:pPr>
      <w:r w:rsidRPr="008F486E">
        <w:rPr>
          <w:rFonts w:ascii="Arial" w:hAnsi="Arial" w:cs="Arial"/>
          <w:i/>
          <w:sz w:val="24"/>
          <w:szCs w:val="24"/>
          <w:lang w:val="en-US"/>
        </w:rPr>
        <w:t xml:space="preserve"> </w:t>
      </w:r>
      <w:hyperlink r:id="rId24" w:history="1">
        <w:r w:rsidRPr="008F486E">
          <w:rPr>
            <w:rStyle w:val="Hipervnculo"/>
            <w:rFonts w:ascii="Arial" w:hAnsi="Arial" w:cs="Arial"/>
            <w:i/>
            <w:color w:val="auto"/>
            <w:sz w:val="24"/>
            <w:szCs w:val="24"/>
            <w:u w:val="none"/>
            <w:lang w:val="en-US"/>
          </w:rPr>
          <w:t>http://www.ieim.uqam.ca</w:t>
        </w:r>
      </w:hyperlink>
      <w:r w:rsidRPr="008F486E">
        <w:rPr>
          <w:rFonts w:ascii="Arial" w:hAnsi="Arial" w:cs="Arial"/>
          <w:i/>
          <w:sz w:val="24"/>
          <w:szCs w:val="24"/>
          <w:lang w:val="en-US"/>
        </w:rPr>
        <w:t>.</w:t>
      </w:r>
      <w:r w:rsidRPr="008F486E">
        <w:rPr>
          <w:rFonts w:ascii="Arial" w:hAnsi="Arial" w:cs="Arial"/>
          <w:sz w:val="24"/>
          <w:szCs w:val="24"/>
          <w:lang w:val="en-US"/>
        </w:rPr>
        <w:t xml:space="preserve"> . </w:t>
      </w:r>
      <w:r w:rsidRPr="008F486E">
        <w:rPr>
          <w:rFonts w:ascii="Arial" w:hAnsi="Arial" w:cs="Arial"/>
          <w:sz w:val="24"/>
          <w:szCs w:val="24"/>
        </w:rPr>
        <w:t xml:space="preserve">María Lorena Castellanos, “El desarrollo sustentable y la globalización: lo que la lógica de mercado no contó…”, La </w:t>
      </w:r>
      <w:proofErr w:type="spellStart"/>
      <w:r w:rsidRPr="008F486E">
        <w:rPr>
          <w:rFonts w:ascii="Arial" w:hAnsi="Arial" w:cs="Arial"/>
          <w:sz w:val="24"/>
          <w:szCs w:val="24"/>
        </w:rPr>
        <w:t>Chronique</w:t>
      </w:r>
      <w:proofErr w:type="spellEnd"/>
      <w:r w:rsidRPr="008F486E">
        <w:rPr>
          <w:rFonts w:ascii="Arial" w:hAnsi="Arial" w:cs="Arial"/>
          <w:sz w:val="24"/>
          <w:szCs w:val="24"/>
        </w:rPr>
        <w:t xml:space="preserve"> des </w:t>
      </w:r>
      <w:proofErr w:type="spellStart"/>
      <w:r w:rsidRPr="008F486E">
        <w:rPr>
          <w:rFonts w:ascii="Arial" w:hAnsi="Arial" w:cs="Arial"/>
          <w:sz w:val="24"/>
          <w:szCs w:val="24"/>
        </w:rPr>
        <w:t>Amériques</w:t>
      </w:r>
      <w:proofErr w:type="spellEnd"/>
      <w:r w:rsidRPr="008F486E">
        <w:rPr>
          <w:rFonts w:ascii="Arial" w:hAnsi="Arial" w:cs="Arial"/>
          <w:sz w:val="24"/>
          <w:szCs w:val="24"/>
        </w:rPr>
        <w:t xml:space="preserve">, </w:t>
      </w:r>
      <w:proofErr w:type="spellStart"/>
      <w:r w:rsidRPr="008F486E">
        <w:rPr>
          <w:rFonts w:ascii="Arial" w:hAnsi="Arial" w:cs="Arial"/>
          <w:sz w:val="24"/>
          <w:szCs w:val="24"/>
        </w:rPr>
        <w:t>Dècembre</w:t>
      </w:r>
      <w:proofErr w:type="spellEnd"/>
      <w:r w:rsidRPr="008F486E">
        <w:rPr>
          <w:rFonts w:ascii="Arial" w:hAnsi="Arial" w:cs="Arial"/>
          <w:sz w:val="24"/>
          <w:szCs w:val="24"/>
        </w:rPr>
        <w:t xml:space="preserve"> 2009, nº 08.</w:t>
      </w:r>
    </w:p>
    <w:p w:rsidR="00BC69EB" w:rsidRPr="008F486E" w:rsidRDefault="008F486E" w:rsidP="008F486E">
      <w:pPr>
        <w:spacing w:line="360" w:lineRule="auto"/>
        <w:jc w:val="both"/>
        <w:rPr>
          <w:rFonts w:ascii="Arial" w:hAnsi="Arial" w:cs="Arial"/>
          <w:sz w:val="24"/>
          <w:szCs w:val="24"/>
        </w:rPr>
      </w:pPr>
      <w:hyperlink r:id="rId25" w:history="1">
        <w:r w:rsidR="00BC69EB" w:rsidRPr="008F486E">
          <w:rPr>
            <w:rStyle w:val="Hipervnculo"/>
            <w:rFonts w:ascii="Arial" w:hAnsi="Arial" w:cs="Arial"/>
            <w:i/>
            <w:color w:val="auto"/>
            <w:sz w:val="24"/>
            <w:szCs w:val="24"/>
            <w:u w:val="none"/>
          </w:rPr>
          <w:t>http://www.lamoncloa.gob.es/presidente/actividades/Documents/2017/Declaracio%CC%81n%20de%20Roma.pdf</w:t>
        </w:r>
      </w:hyperlink>
      <w:r w:rsidR="00BC69EB" w:rsidRPr="008F486E">
        <w:rPr>
          <w:rFonts w:ascii="Arial" w:hAnsi="Arial" w:cs="Arial"/>
          <w:sz w:val="24"/>
          <w:szCs w:val="24"/>
        </w:rPr>
        <w:t xml:space="preserve">. </w:t>
      </w:r>
      <w:r w:rsidR="000D19E7" w:rsidRPr="008F486E">
        <w:rPr>
          <w:rFonts w:ascii="Arial" w:hAnsi="Arial" w:cs="Arial"/>
          <w:sz w:val="24"/>
          <w:szCs w:val="24"/>
        </w:rPr>
        <w:t>“</w:t>
      </w:r>
      <w:r w:rsidR="00BC69EB" w:rsidRPr="008F486E">
        <w:rPr>
          <w:rFonts w:ascii="Arial" w:hAnsi="Arial" w:cs="Arial"/>
          <w:sz w:val="24"/>
          <w:szCs w:val="24"/>
        </w:rPr>
        <w:t>Declaración de Roma</w:t>
      </w:r>
      <w:r w:rsidR="000D19E7" w:rsidRPr="008F486E">
        <w:rPr>
          <w:rFonts w:ascii="Arial" w:hAnsi="Arial" w:cs="Arial"/>
          <w:sz w:val="24"/>
          <w:szCs w:val="24"/>
        </w:rPr>
        <w:t>”</w:t>
      </w:r>
      <w:r w:rsidR="00BC69EB" w:rsidRPr="008F486E">
        <w:rPr>
          <w:rFonts w:ascii="Arial" w:hAnsi="Arial" w:cs="Arial"/>
          <w:sz w:val="24"/>
          <w:szCs w:val="24"/>
        </w:rPr>
        <w:t>.</w:t>
      </w:r>
    </w:p>
    <w:p w:rsidR="000848C2" w:rsidRPr="008F486E" w:rsidRDefault="008F486E" w:rsidP="008F486E">
      <w:pPr>
        <w:spacing w:line="360" w:lineRule="auto"/>
        <w:jc w:val="both"/>
        <w:rPr>
          <w:rFonts w:ascii="Arial" w:hAnsi="Arial" w:cs="Arial"/>
          <w:sz w:val="24"/>
          <w:szCs w:val="24"/>
          <w:lang w:val="en-US"/>
        </w:rPr>
      </w:pPr>
      <w:hyperlink r:id="rId26" w:history="1">
        <w:r w:rsidR="00BC69EB" w:rsidRPr="008F486E">
          <w:rPr>
            <w:rStyle w:val="Hipervnculo"/>
            <w:rFonts w:ascii="Arial" w:hAnsi="Arial" w:cs="Arial"/>
            <w:i/>
            <w:color w:val="auto"/>
            <w:sz w:val="24"/>
            <w:szCs w:val="24"/>
            <w:u w:val="none"/>
          </w:rPr>
          <w:t>http://www.space-settlement-institute.org/articles</w:t>
        </w:r>
      </w:hyperlink>
      <w:r w:rsidR="00BC69EB" w:rsidRPr="008F486E">
        <w:rPr>
          <w:rFonts w:ascii="Arial" w:hAnsi="Arial" w:cs="Arial"/>
          <w:i/>
          <w:sz w:val="24"/>
          <w:szCs w:val="24"/>
        </w:rPr>
        <w:t xml:space="preserve">. </w:t>
      </w:r>
      <w:r w:rsidR="00BC69EB" w:rsidRPr="008F486E">
        <w:rPr>
          <w:rFonts w:ascii="Arial" w:hAnsi="Arial" w:cs="Arial"/>
          <w:sz w:val="24"/>
          <w:szCs w:val="24"/>
          <w:lang w:val="en-US"/>
        </w:rPr>
        <w:t xml:space="preserve">Joanne Irene </w:t>
      </w:r>
      <w:proofErr w:type="spellStart"/>
      <w:r w:rsidR="00BC69EB" w:rsidRPr="008F486E">
        <w:rPr>
          <w:rFonts w:ascii="Arial" w:hAnsi="Arial" w:cs="Arial"/>
          <w:sz w:val="24"/>
          <w:szCs w:val="24"/>
          <w:lang w:val="en-US"/>
        </w:rPr>
        <w:t>Gabrynowicz</w:t>
      </w:r>
      <w:proofErr w:type="spellEnd"/>
      <w:r w:rsidR="00BC69EB" w:rsidRPr="008F486E">
        <w:rPr>
          <w:rFonts w:ascii="Arial" w:hAnsi="Arial" w:cs="Arial"/>
          <w:sz w:val="24"/>
          <w:szCs w:val="24"/>
          <w:lang w:val="en-US"/>
        </w:rPr>
        <w:t>, “The International Space Treaty Regime in the Globalization Era”.</w:t>
      </w:r>
    </w:p>
    <w:p w:rsidR="000848C2" w:rsidRPr="008F486E" w:rsidRDefault="000848C2" w:rsidP="008F486E">
      <w:pPr>
        <w:spacing w:line="360" w:lineRule="auto"/>
        <w:jc w:val="both"/>
        <w:rPr>
          <w:rFonts w:ascii="Arial" w:hAnsi="Arial" w:cs="Arial"/>
          <w:sz w:val="24"/>
          <w:szCs w:val="24"/>
          <w:lang w:val="en-US"/>
        </w:rPr>
      </w:pPr>
      <w:r w:rsidRPr="008F486E">
        <w:rPr>
          <w:rFonts w:ascii="Arial" w:hAnsi="Arial" w:cs="Arial"/>
          <w:b/>
          <w:i/>
          <w:sz w:val="24"/>
          <w:szCs w:val="24"/>
          <w:lang w:val="en-US"/>
        </w:rPr>
        <w:t xml:space="preserve"> </w:t>
      </w:r>
      <w:hyperlink r:id="rId27" w:history="1">
        <w:r w:rsidR="002E78FA" w:rsidRPr="008F486E">
          <w:rPr>
            <w:rStyle w:val="Hipervnculo"/>
            <w:rFonts w:ascii="Arial" w:hAnsi="Arial" w:cs="Arial"/>
            <w:i/>
            <w:color w:val="auto"/>
            <w:sz w:val="24"/>
            <w:szCs w:val="24"/>
            <w:u w:val="none"/>
            <w:lang w:val="en-US"/>
          </w:rPr>
          <w:t>http://www.un-ggim-americas.org</w:t>
        </w:r>
      </w:hyperlink>
      <w:r w:rsidR="002E78FA" w:rsidRPr="008F486E">
        <w:rPr>
          <w:rFonts w:ascii="Arial" w:hAnsi="Arial" w:cs="Arial"/>
          <w:sz w:val="24"/>
          <w:szCs w:val="24"/>
          <w:lang w:val="en-US"/>
        </w:rPr>
        <w:t xml:space="preserve">.    </w:t>
      </w:r>
    </w:p>
    <w:p w:rsidR="00BC69EB" w:rsidRPr="008F486E" w:rsidRDefault="008F486E" w:rsidP="008F486E">
      <w:pPr>
        <w:spacing w:line="360" w:lineRule="auto"/>
        <w:jc w:val="both"/>
        <w:rPr>
          <w:rFonts w:ascii="Arial" w:hAnsi="Arial" w:cs="Arial"/>
          <w:i/>
          <w:sz w:val="24"/>
          <w:szCs w:val="24"/>
          <w:lang w:val="en-US"/>
        </w:rPr>
      </w:pPr>
      <w:hyperlink r:id="rId28" w:history="1">
        <w:r w:rsidR="000D19E7" w:rsidRPr="008F486E">
          <w:rPr>
            <w:rStyle w:val="Hipervnculo"/>
            <w:rFonts w:ascii="Arial" w:hAnsi="Arial" w:cs="Arial"/>
            <w:i/>
            <w:color w:val="auto"/>
            <w:sz w:val="24"/>
            <w:szCs w:val="24"/>
            <w:u w:val="none"/>
            <w:lang w:val="en-US"/>
          </w:rPr>
          <w:t>http://www.unoosa.org/documents/pdf/spacelaw/sd/2004-B5-10.pdf</w:t>
        </w:r>
      </w:hyperlink>
      <w:r w:rsidR="00BC69EB" w:rsidRPr="008F486E">
        <w:rPr>
          <w:rFonts w:ascii="Arial" w:hAnsi="Arial" w:cs="Arial"/>
          <w:sz w:val="24"/>
          <w:szCs w:val="24"/>
          <w:lang w:val="en-US"/>
        </w:rPr>
        <w:t>.</w:t>
      </w:r>
      <w:r w:rsidR="000D19E7" w:rsidRPr="008F486E">
        <w:rPr>
          <w:rFonts w:ascii="Arial" w:hAnsi="Arial" w:cs="Arial"/>
          <w:sz w:val="24"/>
          <w:szCs w:val="24"/>
          <w:lang w:val="en-US"/>
        </w:rPr>
        <w:t xml:space="preserve"> </w:t>
      </w:r>
      <w:proofErr w:type="gramStart"/>
      <w:r w:rsidR="000D19E7" w:rsidRPr="008F486E">
        <w:rPr>
          <w:rFonts w:ascii="Arial" w:hAnsi="Arial" w:cs="Arial"/>
          <w:sz w:val="24"/>
          <w:szCs w:val="24"/>
          <w:lang w:val="en-US"/>
        </w:rPr>
        <w:t>”</w:t>
      </w:r>
      <w:r w:rsidR="00BC69EB" w:rsidRPr="008F486E">
        <w:rPr>
          <w:rFonts w:ascii="Arial" w:hAnsi="Arial" w:cs="Arial"/>
          <w:sz w:val="24"/>
          <w:szCs w:val="24"/>
          <w:lang w:val="en-US"/>
        </w:rPr>
        <w:t>Code of Conduct of Space Debris Mitigation</w:t>
      </w:r>
      <w:r w:rsidR="000D19E7" w:rsidRPr="008F486E">
        <w:rPr>
          <w:rFonts w:ascii="Arial" w:hAnsi="Arial" w:cs="Arial"/>
          <w:sz w:val="24"/>
          <w:szCs w:val="24"/>
          <w:lang w:val="en-US"/>
        </w:rPr>
        <w:t>”</w:t>
      </w:r>
      <w:r w:rsidR="00BC69EB" w:rsidRPr="008F486E">
        <w:rPr>
          <w:rFonts w:ascii="Arial" w:hAnsi="Arial" w:cs="Arial"/>
          <w:sz w:val="24"/>
          <w:szCs w:val="24"/>
          <w:lang w:val="en-US"/>
        </w:rPr>
        <w:t>.</w:t>
      </w:r>
      <w:proofErr w:type="gramEnd"/>
    </w:p>
    <w:p w:rsidR="00FC197C" w:rsidRPr="008F486E" w:rsidRDefault="008F486E" w:rsidP="008F486E">
      <w:pPr>
        <w:spacing w:line="360" w:lineRule="auto"/>
        <w:jc w:val="both"/>
        <w:rPr>
          <w:rFonts w:ascii="Arial" w:hAnsi="Arial" w:cs="Arial"/>
          <w:sz w:val="24"/>
          <w:szCs w:val="24"/>
          <w:lang w:val="en-US"/>
        </w:rPr>
      </w:pPr>
      <w:hyperlink r:id="rId29" w:history="1">
        <w:r w:rsidR="00BC69EB" w:rsidRPr="008F486E">
          <w:rPr>
            <w:rStyle w:val="Hipervnculo"/>
            <w:rFonts w:ascii="Arial" w:hAnsi="Arial" w:cs="Arial"/>
            <w:i/>
            <w:color w:val="auto"/>
            <w:sz w:val="24"/>
            <w:szCs w:val="24"/>
            <w:u w:val="none"/>
            <w:lang w:val="en-US"/>
          </w:rPr>
          <w:t>http://www.un.org/millenniumgoals/pdf/post_2015_unttreport.pdf</w:t>
        </w:r>
      </w:hyperlink>
      <w:r w:rsidR="00251958" w:rsidRPr="008F486E">
        <w:rPr>
          <w:rFonts w:ascii="Arial" w:hAnsi="Arial" w:cs="Arial"/>
          <w:sz w:val="24"/>
          <w:szCs w:val="24"/>
          <w:lang w:val="en-US"/>
        </w:rPr>
        <w:t xml:space="preserve">. </w:t>
      </w:r>
      <w:r w:rsidR="00BC69EB" w:rsidRPr="008F486E">
        <w:rPr>
          <w:rFonts w:ascii="Arial" w:hAnsi="Arial" w:cs="Arial"/>
          <w:sz w:val="24"/>
          <w:szCs w:val="24"/>
          <w:lang w:val="en-US"/>
        </w:rPr>
        <w:t>UN System Task Team on the Post-2015 UN Development Agenda, “Realizing the Future We Want for All”, Report to the Secretary</w:t>
      </w:r>
      <w:r w:rsidR="009C3E89" w:rsidRPr="008F486E">
        <w:rPr>
          <w:rFonts w:ascii="Arial" w:hAnsi="Arial" w:cs="Arial"/>
          <w:sz w:val="24"/>
          <w:szCs w:val="24"/>
          <w:lang w:val="en-US"/>
        </w:rPr>
        <w:t xml:space="preserve"> General, </w:t>
      </w:r>
      <w:r w:rsidR="00251958" w:rsidRPr="008F486E">
        <w:rPr>
          <w:rFonts w:ascii="Arial" w:hAnsi="Arial" w:cs="Arial"/>
          <w:sz w:val="24"/>
          <w:szCs w:val="24"/>
          <w:lang w:val="en-US"/>
        </w:rPr>
        <w:t>New York, June 2012</w:t>
      </w:r>
      <w:r w:rsidR="000D19E7" w:rsidRPr="008F486E">
        <w:rPr>
          <w:rFonts w:ascii="Arial" w:hAnsi="Arial" w:cs="Arial"/>
          <w:sz w:val="24"/>
          <w:szCs w:val="24"/>
          <w:lang w:val="en-US"/>
        </w:rPr>
        <w:t>.</w:t>
      </w:r>
    </w:p>
    <w:sectPr w:rsidR="00FC197C" w:rsidRPr="008F486E">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59" w:rsidRDefault="002D1F59" w:rsidP="00AE7DE8">
      <w:pPr>
        <w:spacing w:after="0" w:line="240" w:lineRule="auto"/>
      </w:pPr>
      <w:r>
        <w:separator/>
      </w:r>
    </w:p>
  </w:endnote>
  <w:endnote w:type="continuationSeparator" w:id="0">
    <w:p w:rsidR="002D1F59" w:rsidRDefault="002D1F59" w:rsidP="00AE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524104"/>
      <w:docPartObj>
        <w:docPartGallery w:val="Page Numbers (Bottom of Page)"/>
        <w:docPartUnique/>
      </w:docPartObj>
    </w:sdtPr>
    <w:sdtContent>
      <w:p w:rsidR="00442E21" w:rsidRDefault="00442E21">
        <w:pPr>
          <w:pStyle w:val="Piedepgina"/>
          <w:jc w:val="right"/>
        </w:pPr>
        <w:r>
          <w:fldChar w:fldCharType="begin"/>
        </w:r>
        <w:r>
          <w:instrText>PAGE   \* MERGEFORMAT</w:instrText>
        </w:r>
        <w:r>
          <w:fldChar w:fldCharType="separate"/>
        </w:r>
        <w:r>
          <w:rPr>
            <w:noProof/>
          </w:rPr>
          <w:t>60</w:t>
        </w:r>
        <w:r>
          <w:fldChar w:fldCharType="end"/>
        </w:r>
      </w:p>
    </w:sdtContent>
  </w:sdt>
  <w:p w:rsidR="008F486E" w:rsidRDefault="008F48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59" w:rsidRDefault="002D1F59" w:rsidP="00AE7DE8">
      <w:pPr>
        <w:spacing w:after="0" w:line="240" w:lineRule="auto"/>
      </w:pPr>
      <w:r>
        <w:separator/>
      </w:r>
    </w:p>
  </w:footnote>
  <w:footnote w:type="continuationSeparator" w:id="0">
    <w:p w:rsidR="002D1F59" w:rsidRDefault="002D1F59" w:rsidP="00AE7DE8">
      <w:pPr>
        <w:spacing w:after="0" w:line="240" w:lineRule="auto"/>
      </w:pPr>
      <w:r>
        <w:continuationSeparator/>
      </w:r>
    </w:p>
  </w:footnote>
  <w:footnote w:id="1">
    <w:p w:rsidR="008F486E" w:rsidRPr="00442E21" w:rsidRDefault="008F486E" w:rsidP="00750D52">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María Lorena Castellanos, “El desarrollo sustentable y la globalización: lo que la lógica de mercado no contó…”, </w:t>
      </w:r>
      <w:r w:rsidRPr="00442E21">
        <w:rPr>
          <w:rFonts w:ascii="Arial" w:hAnsi="Arial" w:cs="Arial"/>
          <w:i/>
          <w:sz w:val="18"/>
          <w:szCs w:val="18"/>
        </w:rPr>
        <w:t xml:space="preserve">La </w:t>
      </w:r>
      <w:proofErr w:type="spellStart"/>
      <w:r w:rsidRPr="00442E21">
        <w:rPr>
          <w:rFonts w:ascii="Arial" w:hAnsi="Arial" w:cs="Arial"/>
          <w:i/>
          <w:sz w:val="18"/>
          <w:szCs w:val="18"/>
        </w:rPr>
        <w:t>Chronique</w:t>
      </w:r>
      <w:proofErr w:type="spellEnd"/>
      <w:r w:rsidRPr="00442E21">
        <w:rPr>
          <w:rFonts w:ascii="Arial" w:hAnsi="Arial" w:cs="Arial"/>
          <w:i/>
          <w:sz w:val="18"/>
          <w:szCs w:val="18"/>
        </w:rPr>
        <w:t xml:space="preserve"> des </w:t>
      </w:r>
      <w:proofErr w:type="spellStart"/>
      <w:r w:rsidRPr="00442E21">
        <w:rPr>
          <w:rFonts w:ascii="Arial" w:hAnsi="Arial" w:cs="Arial"/>
          <w:i/>
          <w:sz w:val="18"/>
          <w:szCs w:val="18"/>
        </w:rPr>
        <w:t>Amériques</w:t>
      </w:r>
      <w:proofErr w:type="spellEnd"/>
      <w:r w:rsidRPr="00442E21">
        <w:rPr>
          <w:rFonts w:ascii="Arial" w:hAnsi="Arial" w:cs="Arial"/>
          <w:i/>
          <w:sz w:val="18"/>
          <w:szCs w:val="18"/>
        </w:rPr>
        <w:t xml:space="preserve">, </w:t>
      </w:r>
      <w:proofErr w:type="spellStart"/>
      <w:r w:rsidRPr="00442E21">
        <w:rPr>
          <w:rFonts w:ascii="Arial" w:hAnsi="Arial" w:cs="Arial"/>
          <w:i/>
          <w:sz w:val="18"/>
          <w:szCs w:val="18"/>
        </w:rPr>
        <w:t>dècembre</w:t>
      </w:r>
      <w:proofErr w:type="spellEnd"/>
      <w:r w:rsidRPr="00442E21">
        <w:rPr>
          <w:rFonts w:ascii="Arial" w:hAnsi="Arial" w:cs="Arial"/>
          <w:i/>
          <w:sz w:val="18"/>
          <w:szCs w:val="18"/>
        </w:rPr>
        <w:t xml:space="preserve"> 2009, nº 08</w:t>
      </w:r>
      <w:r w:rsidRPr="00442E21">
        <w:rPr>
          <w:rFonts w:ascii="Arial" w:hAnsi="Arial" w:cs="Arial"/>
          <w:sz w:val="18"/>
          <w:szCs w:val="18"/>
        </w:rPr>
        <w:t xml:space="preserve">., en </w:t>
      </w:r>
      <w:hyperlink r:id="rId1" w:history="1">
        <w:r w:rsidRPr="00442E21">
          <w:rPr>
            <w:rStyle w:val="Hipervnculo"/>
            <w:rFonts w:ascii="Arial" w:hAnsi="Arial" w:cs="Arial"/>
            <w:i/>
            <w:color w:val="auto"/>
            <w:sz w:val="18"/>
            <w:szCs w:val="18"/>
            <w:u w:val="none"/>
          </w:rPr>
          <w:t>http://www.ieim.uqam.ca</w:t>
        </w:r>
      </w:hyperlink>
      <w:r w:rsidRPr="00442E21">
        <w:rPr>
          <w:rFonts w:ascii="Arial" w:hAnsi="Arial" w:cs="Arial"/>
          <w:i/>
          <w:sz w:val="18"/>
          <w:szCs w:val="18"/>
        </w:rPr>
        <w:t xml:space="preserve"> . “</w:t>
      </w:r>
      <w:r w:rsidRPr="00442E21">
        <w:rPr>
          <w:rFonts w:ascii="Arial" w:hAnsi="Arial" w:cs="Arial"/>
          <w:sz w:val="18"/>
          <w:szCs w:val="18"/>
        </w:rPr>
        <w:t>En términos generales, la globalización funciona según las reglas de mercado, aparentemente se pacta un precio que refleja el valor del</w:t>
      </w:r>
      <w:r w:rsidRPr="00442E21">
        <w:rPr>
          <w:rFonts w:ascii="Arial" w:hAnsi="Arial" w:cs="Arial"/>
        </w:rPr>
        <w:t xml:space="preserve"> bien </w:t>
      </w:r>
      <w:r w:rsidRPr="00442E21">
        <w:rPr>
          <w:rFonts w:ascii="Arial" w:hAnsi="Arial" w:cs="Arial"/>
          <w:sz w:val="18"/>
          <w:szCs w:val="18"/>
        </w:rPr>
        <w:t>transado. En realidad, esto no sucede debido a las distorsiones en el mercado (unos tienen mayor poder de participación en el mercado que otros) la existencia de asimetrías en la información, acuerdos comerciales con tratamiento preferencial para unos y discriminatorios para otros, etc. Es claro que para participar y mantener un posicionamiento a nivel mundial, se requiere ser competitivo, es decir, reducir costos (sociales, ambientales y de proceso de producción) y/o desarrollar o adquirir nuevas tecnologías.</w:t>
      </w:r>
    </w:p>
  </w:footnote>
  <w:footnote w:id="2">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Vid. Doc. AGNU A/CONF.184.4</w:t>
      </w:r>
    </w:p>
  </w:footnote>
  <w:footnote w:id="3">
    <w:p w:rsidR="008F486E" w:rsidRPr="00442E21" w:rsidRDefault="008F486E" w:rsidP="00F36F82">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Discurso de S.E. D. Jesús Posada Moreno (Ministro de Administraciones Públicas de España), “Globalización e integración regional”,  Asamblea General de las Naciones Unidas, Segunda Comisión, Grupo de discusión sobre globalización y Estado, 2 de noviembre de 2001, en </w:t>
      </w:r>
      <w:hyperlink r:id="rId2" w:history="1">
        <w:r w:rsidRPr="00442E21">
          <w:rPr>
            <w:rStyle w:val="Hipervnculo"/>
            <w:rFonts w:ascii="Arial" w:hAnsi="Arial" w:cs="Arial"/>
            <w:i/>
            <w:color w:val="auto"/>
            <w:sz w:val="18"/>
            <w:szCs w:val="18"/>
            <w:u w:val="none"/>
          </w:rPr>
          <w:t>http://unpan1.un.org/intradoc/groups/public/documents/un/unpan001994.pdf</w:t>
        </w:r>
      </w:hyperlink>
      <w:r w:rsidRPr="00442E21">
        <w:rPr>
          <w:rFonts w:ascii="Arial" w:hAnsi="Arial" w:cs="Arial"/>
        </w:rPr>
        <w:t xml:space="preserve"> </w:t>
      </w:r>
    </w:p>
  </w:footnote>
  <w:footnote w:id="4">
    <w:p w:rsidR="008F486E" w:rsidRPr="00442E21" w:rsidRDefault="008F486E" w:rsidP="00B174D7">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en </w:t>
      </w:r>
      <w:hyperlink r:id="rId3" w:history="1">
        <w:r w:rsidRPr="00442E21">
          <w:rPr>
            <w:rStyle w:val="Hipervnculo"/>
            <w:rFonts w:ascii="Arial" w:hAnsi="Arial" w:cs="Arial"/>
            <w:i/>
            <w:color w:val="auto"/>
            <w:sz w:val="18"/>
            <w:szCs w:val="18"/>
            <w:u w:val="none"/>
          </w:rPr>
          <w:t>http://www.cartadelatierra.com</w:t>
        </w:r>
      </w:hyperlink>
      <w:r w:rsidRPr="00442E21">
        <w:rPr>
          <w:rFonts w:ascii="Arial" w:hAnsi="Arial" w:cs="Arial"/>
          <w:sz w:val="18"/>
          <w:szCs w:val="18"/>
        </w:rPr>
        <w:t xml:space="preserve"> </w:t>
      </w:r>
    </w:p>
  </w:footnote>
  <w:footnote w:id="5">
    <w:p w:rsidR="008F486E" w:rsidRPr="00AD0F70" w:rsidRDefault="008F486E" w:rsidP="005F54DD">
      <w:pPr>
        <w:pStyle w:val="Textonotapie"/>
        <w:jc w:val="both"/>
        <w:rPr>
          <w:rFonts w:ascii="Times New Roman" w:hAnsi="Times New Roman" w:cs="Times New Roman"/>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Resolución 37/7, </w:t>
      </w:r>
      <w:r w:rsidRPr="00442E21">
        <w:rPr>
          <w:rFonts w:ascii="Arial" w:hAnsi="Arial" w:cs="Arial"/>
          <w:i/>
          <w:sz w:val="18"/>
          <w:szCs w:val="18"/>
        </w:rPr>
        <w:t>Carta Mundial de la Naturaleza</w:t>
      </w:r>
      <w:r w:rsidRPr="00442E21">
        <w:rPr>
          <w:rFonts w:ascii="Arial" w:hAnsi="Arial" w:cs="Arial"/>
          <w:sz w:val="18"/>
          <w:szCs w:val="18"/>
        </w:rPr>
        <w:t>, 48ª sesión plenaria, de 28 de octubre de 1982.  “Principios generales: 1. Se respetará la naturaleza y no se perturbarán sus procesos esenciales. 2. No se amenazará la viabilidad genética de la tierra; la población de todas las especies, silvestres y domesticadas, se mantendrá a un nivel por lo menos suficiente para garantizar su supervivencia; asimismo, se salvaguardarán los hábitats necesarios para este fin. 3. Estos principios de conservación se aplicarán a todas las partes de la superficie terrestre, tanto en la tierra como en el mar; se concederá protección especial a aquellas de carácter singular, a los ejemplares representativos de todos los diferentes tipos de ecosistemas y a los hábitats de las especies o en peligro. 4. Los ecosistemas y los organismos, así como los recursos terrestres, marinos y atmosféricos que son utilizados por el hombre, se administrarán de manera tal de lograr y mantener su productividad óptima y continua sin por ello poner en peligro la integridad de los otros ecosistemas y especies con los que coexistan. 5. Se protegerá a la naturaleza de la destrucción que causan las guerras u otros actos de hostilidad”.</w:t>
      </w:r>
    </w:p>
  </w:footnote>
  <w:footnote w:id="6">
    <w:p w:rsidR="008F486E" w:rsidRPr="00442E21" w:rsidRDefault="008F486E" w:rsidP="00112328">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Doc. Naciones Unidas, Consejo Económico y Social</w:t>
      </w:r>
      <w:r w:rsidRPr="00442E21">
        <w:rPr>
          <w:rFonts w:ascii="Arial" w:hAnsi="Arial" w:cs="Arial"/>
          <w:i/>
          <w:sz w:val="18"/>
          <w:szCs w:val="18"/>
        </w:rPr>
        <w:t>, E/2011/L.53</w:t>
      </w:r>
      <w:r w:rsidRPr="00442E21">
        <w:rPr>
          <w:rFonts w:ascii="Arial" w:hAnsi="Arial" w:cs="Arial"/>
          <w:sz w:val="18"/>
          <w:szCs w:val="18"/>
        </w:rPr>
        <w:t>, 26 de julio de 2011.</w:t>
      </w:r>
    </w:p>
  </w:footnote>
  <w:footnote w:id="7">
    <w:p w:rsidR="008F486E" w:rsidRPr="00442E21" w:rsidRDefault="008F486E" w:rsidP="00D95534">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w:t>
      </w:r>
      <w:hyperlink r:id="rId4" w:history="1">
        <w:r w:rsidRPr="00442E21">
          <w:rPr>
            <w:rStyle w:val="Hipervnculo"/>
            <w:rFonts w:ascii="Arial" w:hAnsi="Arial" w:cs="Arial"/>
            <w:i/>
            <w:color w:val="auto"/>
            <w:sz w:val="18"/>
            <w:szCs w:val="18"/>
            <w:u w:val="none"/>
          </w:rPr>
          <w:t>http://ggim.un.org/ggim_committee.org</w:t>
        </w:r>
      </w:hyperlink>
      <w:r w:rsidRPr="00442E21">
        <w:rPr>
          <w:rFonts w:ascii="Arial" w:hAnsi="Arial" w:cs="Arial"/>
          <w:i/>
        </w:rPr>
        <w:t xml:space="preserve"> </w:t>
      </w:r>
    </w:p>
  </w:footnote>
  <w:footnote w:id="8">
    <w:p w:rsidR="008F486E" w:rsidRPr="00442E21" w:rsidRDefault="008F486E" w:rsidP="00112328">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La infraestructura de datos geoespaciales para las Américas es el conjunto de datos geoespaciales fundamentales, los estándares que permitan su integración, los mecanismos que faciliten su acceso y uso</w:t>
      </w:r>
      <w:r w:rsidRPr="00442E21">
        <w:rPr>
          <w:rFonts w:ascii="Arial" w:hAnsi="Arial" w:cs="Arial"/>
          <w:i/>
          <w:sz w:val="18"/>
          <w:szCs w:val="18"/>
        </w:rPr>
        <w:t xml:space="preserve"> </w:t>
      </w:r>
      <w:r w:rsidRPr="00442E21">
        <w:rPr>
          <w:rFonts w:ascii="Arial" w:hAnsi="Arial" w:cs="Arial"/>
          <w:sz w:val="18"/>
          <w:szCs w:val="18"/>
        </w:rPr>
        <w:t xml:space="preserve">y las políticas y principios que aseguran sus compatibilidades entre los países miembros de UN-GGIM, en </w:t>
      </w:r>
      <w:hyperlink r:id="rId5" w:history="1">
        <w:r w:rsidRPr="00442E21">
          <w:rPr>
            <w:rStyle w:val="Hipervnculo"/>
            <w:rFonts w:ascii="Arial" w:hAnsi="Arial" w:cs="Arial"/>
            <w:i/>
            <w:color w:val="auto"/>
            <w:sz w:val="18"/>
            <w:szCs w:val="18"/>
            <w:u w:val="none"/>
          </w:rPr>
          <w:t>http://www.un-ggim-americas.org</w:t>
        </w:r>
      </w:hyperlink>
      <w:r w:rsidRPr="00442E21">
        <w:rPr>
          <w:rFonts w:ascii="Arial" w:hAnsi="Arial" w:cs="Arial"/>
          <w:i/>
          <w:sz w:val="18"/>
          <w:szCs w:val="18"/>
        </w:rPr>
        <w:t xml:space="preserve"> </w:t>
      </w:r>
    </w:p>
  </w:footnote>
  <w:footnote w:id="9">
    <w:p w:rsidR="008F486E" w:rsidRPr="00442E21" w:rsidRDefault="008F486E" w:rsidP="00B174D7">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el texto de la Declaración de Seúl en </w:t>
      </w:r>
      <w:hyperlink r:id="rId6" w:history="1">
        <w:r w:rsidRPr="00442E21">
          <w:rPr>
            <w:rStyle w:val="Hipervnculo"/>
            <w:rFonts w:ascii="Arial" w:hAnsi="Arial" w:cs="Arial"/>
            <w:i/>
            <w:color w:val="auto"/>
            <w:sz w:val="18"/>
            <w:szCs w:val="18"/>
            <w:u w:val="none"/>
          </w:rPr>
          <w:t>http://ggim.un.org/knowledgebase/attachment36.aspx</w:t>
        </w:r>
      </w:hyperlink>
      <w:r w:rsidRPr="00442E21">
        <w:rPr>
          <w:rFonts w:ascii="Arial" w:hAnsi="Arial" w:cs="Arial"/>
          <w:i/>
          <w:sz w:val="18"/>
          <w:szCs w:val="18"/>
        </w:rPr>
        <w:t xml:space="preserve"> </w:t>
      </w:r>
    </w:p>
  </w:footnote>
  <w:footnote w:id="10">
    <w:p w:rsidR="008F486E" w:rsidRPr="00442E21" w:rsidRDefault="008F486E" w:rsidP="002A6DF0">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el texto de la Declaración de Doha en el siguiente documento: </w:t>
      </w:r>
      <w:proofErr w:type="spellStart"/>
      <w:r w:rsidRPr="00442E21">
        <w:rPr>
          <w:rFonts w:ascii="Arial" w:hAnsi="Arial" w:cs="Arial"/>
          <w:sz w:val="18"/>
          <w:szCs w:val="18"/>
        </w:rPr>
        <w:t>United</w:t>
      </w:r>
      <w:proofErr w:type="spellEnd"/>
      <w:r w:rsidRPr="00442E21">
        <w:rPr>
          <w:rFonts w:ascii="Arial" w:hAnsi="Arial" w:cs="Arial"/>
          <w:sz w:val="18"/>
          <w:szCs w:val="18"/>
        </w:rPr>
        <w:t xml:space="preserve"> </w:t>
      </w:r>
      <w:proofErr w:type="spellStart"/>
      <w:r w:rsidRPr="00442E21">
        <w:rPr>
          <w:rFonts w:ascii="Arial" w:hAnsi="Arial" w:cs="Arial"/>
          <w:sz w:val="18"/>
          <w:szCs w:val="18"/>
        </w:rPr>
        <w:t>Nations</w:t>
      </w:r>
      <w:proofErr w:type="spellEnd"/>
      <w:r w:rsidRPr="00442E21">
        <w:rPr>
          <w:rFonts w:ascii="Arial" w:hAnsi="Arial" w:cs="Arial"/>
          <w:sz w:val="18"/>
          <w:szCs w:val="18"/>
        </w:rPr>
        <w:t xml:space="preserve"> Inter-Agency Meeting </w:t>
      </w:r>
      <w:proofErr w:type="spellStart"/>
      <w:r w:rsidRPr="00442E21">
        <w:rPr>
          <w:rFonts w:ascii="Arial" w:hAnsi="Arial" w:cs="Arial"/>
          <w:sz w:val="18"/>
          <w:szCs w:val="18"/>
        </w:rPr>
        <w:t>on</w:t>
      </w:r>
      <w:proofErr w:type="spellEnd"/>
      <w:r w:rsidRPr="00442E21">
        <w:rPr>
          <w:rFonts w:ascii="Arial" w:hAnsi="Arial" w:cs="Arial"/>
          <w:sz w:val="18"/>
          <w:szCs w:val="18"/>
        </w:rPr>
        <w:t xml:space="preserve"> </w:t>
      </w:r>
      <w:proofErr w:type="spellStart"/>
      <w:r w:rsidRPr="00442E21">
        <w:rPr>
          <w:rFonts w:ascii="Arial" w:hAnsi="Arial" w:cs="Arial"/>
          <w:sz w:val="18"/>
          <w:szCs w:val="18"/>
        </w:rPr>
        <w:t>Outer</w:t>
      </w:r>
      <w:proofErr w:type="spellEnd"/>
      <w:r w:rsidRPr="00442E21">
        <w:rPr>
          <w:rFonts w:ascii="Arial" w:hAnsi="Arial" w:cs="Arial"/>
          <w:sz w:val="18"/>
          <w:szCs w:val="18"/>
        </w:rPr>
        <w:t xml:space="preserve"> </w:t>
      </w:r>
      <w:proofErr w:type="spellStart"/>
      <w:r w:rsidRPr="00442E21">
        <w:rPr>
          <w:rFonts w:ascii="Arial" w:hAnsi="Arial" w:cs="Arial"/>
          <w:sz w:val="18"/>
          <w:szCs w:val="18"/>
        </w:rPr>
        <w:t>Space</w:t>
      </w:r>
      <w:proofErr w:type="spellEnd"/>
      <w:r w:rsidRPr="00442E21">
        <w:rPr>
          <w:rFonts w:ascii="Arial" w:hAnsi="Arial" w:cs="Arial"/>
          <w:sz w:val="18"/>
          <w:szCs w:val="18"/>
        </w:rPr>
        <w:t xml:space="preserve"> </w:t>
      </w:r>
      <w:proofErr w:type="spellStart"/>
      <w:r w:rsidRPr="00442E21">
        <w:rPr>
          <w:rFonts w:ascii="Arial" w:hAnsi="Arial" w:cs="Arial"/>
          <w:sz w:val="18"/>
          <w:szCs w:val="18"/>
        </w:rPr>
        <w:t>Activities</w:t>
      </w:r>
      <w:proofErr w:type="spellEnd"/>
      <w:r w:rsidRPr="00442E21">
        <w:rPr>
          <w:rFonts w:ascii="Arial" w:hAnsi="Arial" w:cs="Arial"/>
          <w:i/>
          <w:sz w:val="18"/>
          <w:szCs w:val="18"/>
        </w:rPr>
        <w:t>, IAM/2013/CRP.7</w:t>
      </w:r>
      <w:r w:rsidRPr="00442E21">
        <w:rPr>
          <w:rFonts w:ascii="Arial" w:hAnsi="Arial" w:cs="Arial"/>
          <w:sz w:val="18"/>
          <w:szCs w:val="18"/>
        </w:rPr>
        <w:t xml:space="preserve">, </w:t>
      </w:r>
      <w:proofErr w:type="spellStart"/>
      <w:r w:rsidRPr="00442E21">
        <w:rPr>
          <w:rFonts w:ascii="Arial" w:hAnsi="Arial" w:cs="Arial"/>
          <w:sz w:val="18"/>
          <w:szCs w:val="18"/>
        </w:rPr>
        <w:t>Thirty-third</w:t>
      </w:r>
      <w:proofErr w:type="spellEnd"/>
      <w:r w:rsidRPr="00442E21">
        <w:rPr>
          <w:rFonts w:ascii="Arial" w:hAnsi="Arial" w:cs="Arial"/>
          <w:sz w:val="18"/>
          <w:szCs w:val="18"/>
        </w:rPr>
        <w:t xml:space="preserve"> sesión 12-14 </w:t>
      </w:r>
      <w:proofErr w:type="spellStart"/>
      <w:r w:rsidRPr="00442E21">
        <w:rPr>
          <w:rFonts w:ascii="Arial" w:hAnsi="Arial" w:cs="Arial"/>
          <w:sz w:val="18"/>
          <w:szCs w:val="18"/>
        </w:rPr>
        <w:t>March</w:t>
      </w:r>
      <w:proofErr w:type="spellEnd"/>
      <w:r w:rsidRPr="00442E21">
        <w:rPr>
          <w:rFonts w:ascii="Arial" w:hAnsi="Arial" w:cs="Arial"/>
          <w:sz w:val="18"/>
          <w:szCs w:val="18"/>
        </w:rPr>
        <w:t xml:space="preserve">, Geneva, </w:t>
      </w:r>
      <w:proofErr w:type="spellStart"/>
      <w:r w:rsidRPr="00442E21">
        <w:rPr>
          <w:rFonts w:ascii="Arial" w:hAnsi="Arial" w:cs="Arial"/>
          <w:sz w:val="18"/>
          <w:szCs w:val="18"/>
        </w:rPr>
        <w:t>Switzerland</w:t>
      </w:r>
      <w:proofErr w:type="spellEnd"/>
      <w:r w:rsidRPr="00442E21">
        <w:rPr>
          <w:rFonts w:ascii="Arial" w:hAnsi="Arial" w:cs="Arial"/>
          <w:sz w:val="18"/>
          <w:szCs w:val="18"/>
        </w:rPr>
        <w:t xml:space="preserve">,  </w:t>
      </w:r>
      <w:r w:rsidRPr="00442E21">
        <w:rPr>
          <w:rFonts w:ascii="Arial" w:hAnsi="Arial" w:cs="Arial"/>
          <w:i/>
          <w:sz w:val="18"/>
          <w:szCs w:val="18"/>
        </w:rPr>
        <w:t xml:space="preserve">Doha </w:t>
      </w:r>
      <w:proofErr w:type="spellStart"/>
      <w:r w:rsidRPr="00442E21">
        <w:rPr>
          <w:rFonts w:ascii="Arial" w:hAnsi="Arial" w:cs="Arial"/>
          <w:i/>
          <w:sz w:val="18"/>
          <w:szCs w:val="18"/>
        </w:rPr>
        <w:t>Declaration</w:t>
      </w:r>
      <w:proofErr w:type="spellEnd"/>
      <w:r w:rsidRPr="00442E21">
        <w:rPr>
          <w:rFonts w:ascii="Arial" w:hAnsi="Arial" w:cs="Arial"/>
          <w:sz w:val="18"/>
          <w:szCs w:val="18"/>
        </w:rPr>
        <w:t>.</w:t>
      </w:r>
    </w:p>
  </w:footnote>
  <w:footnote w:id="11">
    <w:p w:rsidR="008F486E" w:rsidRPr="00442E21" w:rsidRDefault="008F486E" w:rsidP="00B25847">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Doc. CESNU E/RES/2016/27, de 15 de agosto de 2016</w:t>
      </w:r>
      <w:r w:rsidRPr="00442E21">
        <w:rPr>
          <w:rFonts w:ascii="Arial" w:hAnsi="Arial" w:cs="Arial"/>
          <w:i/>
          <w:sz w:val="18"/>
          <w:szCs w:val="18"/>
        </w:rPr>
        <w:t>, Resolución aprobada por el Consejo Económico y Social el 27 de julio de 2016</w:t>
      </w:r>
      <w:r w:rsidRPr="00442E21">
        <w:rPr>
          <w:rFonts w:ascii="Arial" w:hAnsi="Arial" w:cs="Arial"/>
          <w:sz w:val="18"/>
          <w:szCs w:val="18"/>
        </w:rPr>
        <w:t>, 48ª sesión plenaria, 27 de julio de 2016.</w:t>
      </w:r>
    </w:p>
  </w:footnote>
  <w:footnote w:id="12">
    <w:p w:rsidR="008F486E" w:rsidRPr="00442E21" w:rsidRDefault="008F486E" w:rsidP="00202609">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Doc. AGNU A/RES/70/1, de 21 de octubre de 2015, Septuagésimo período de sesiones, </w:t>
      </w:r>
      <w:r w:rsidRPr="00442E21">
        <w:rPr>
          <w:rFonts w:ascii="Arial" w:hAnsi="Arial" w:cs="Arial"/>
          <w:i/>
          <w:sz w:val="18"/>
          <w:szCs w:val="18"/>
        </w:rPr>
        <w:t>Transformar nuestro mundo: la Agenda 2030 para el Desarrollo Sostenible</w:t>
      </w:r>
      <w:r w:rsidRPr="00442E21">
        <w:rPr>
          <w:rFonts w:ascii="Arial" w:hAnsi="Arial" w:cs="Arial"/>
          <w:sz w:val="18"/>
          <w:szCs w:val="18"/>
        </w:rPr>
        <w:t xml:space="preserve">, 4ª sesión plenaria de 25 de septiembre de 2015. La agenda 2030 es un plan de acción en favor de las personas, el planeta y la prosperidad. También tiene por objeto fortalecer la paz universal dentro de un concepto más amplio de la libertad. Reconocemos que la erradicación de la pobreza en todas sus formas y dimensiones, incluida la pobreza extrema, es el mayor desafío a que se enfrenta el mundo y constituye un requisito indispensable para el desarrollo sostenible”. </w:t>
      </w:r>
    </w:p>
  </w:footnote>
  <w:footnote w:id="13">
    <w:p w:rsidR="008F486E" w:rsidRPr="00442E21" w:rsidRDefault="008F486E" w:rsidP="00333D72">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Doc. AGNU. A/RES/69/283, de 23 de junio de 2015, </w:t>
      </w:r>
      <w:r w:rsidRPr="00442E21">
        <w:rPr>
          <w:rFonts w:ascii="Arial" w:hAnsi="Arial" w:cs="Arial"/>
          <w:i/>
          <w:sz w:val="18"/>
          <w:szCs w:val="18"/>
        </w:rPr>
        <w:t>Marco de Sendai para la Reducción del Riesgo de Desastres 2015-2030</w:t>
      </w:r>
      <w:r w:rsidRPr="00442E21">
        <w:rPr>
          <w:rFonts w:ascii="Arial" w:hAnsi="Arial" w:cs="Arial"/>
          <w:sz w:val="18"/>
          <w:szCs w:val="18"/>
        </w:rPr>
        <w:t>, 92ª sesión plenaria de 3 de junio de 2015.</w:t>
      </w:r>
    </w:p>
  </w:footnote>
  <w:footnote w:id="14">
    <w:p w:rsidR="008F486E" w:rsidRPr="00442E21" w:rsidRDefault="008F486E" w:rsidP="00594127">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Acuerdo de París, de 12 de diciembre de 2015.  </w:t>
      </w:r>
      <w:r w:rsidRPr="00442E21">
        <w:rPr>
          <w:rFonts w:ascii="Arial" w:hAnsi="Arial" w:cs="Arial"/>
          <w:i/>
          <w:sz w:val="18"/>
          <w:szCs w:val="18"/>
        </w:rPr>
        <w:t>B.O.E</w:t>
      </w:r>
      <w:r w:rsidRPr="00442E21">
        <w:rPr>
          <w:rFonts w:ascii="Arial" w:hAnsi="Arial" w:cs="Arial"/>
          <w:sz w:val="18"/>
          <w:szCs w:val="18"/>
        </w:rPr>
        <w:t>. núm. 28, de 2 de febrero de 2017.</w:t>
      </w:r>
    </w:p>
  </w:footnote>
  <w:footnote w:id="15">
    <w:p w:rsidR="008F486E" w:rsidRPr="00442E21" w:rsidRDefault="008F486E" w:rsidP="00D33915">
      <w:pPr>
        <w:pStyle w:val="Textonotapie"/>
        <w:jc w:val="both"/>
        <w:rPr>
          <w:rFonts w:ascii="Arial" w:hAnsi="Arial" w:cs="Arial"/>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proofErr w:type="spellStart"/>
      <w:r w:rsidRPr="00442E21">
        <w:rPr>
          <w:rFonts w:ascii="Arial" w:hAnsi="Arial" w:cs="Arial"/>
          <w:sz w:val="18"/>
          <w:szCs w:val="18"/>
          <w:lang w:val="en-US"/>
        </w:rPr>
        <w:t>Véase</w:t>
      </w:r>
      <w:proofErr w:type="spellEnd"/>
      <w:r w:rsidRPr="00442E21">
        <w:rPr>
          <w:rFonts w:ascii="Arial" w:hAnsi="Arial" w:cs="Arial"/>
          <w:sz w:val="18"/>
          <w:szCs w:val="18"/>
          <w:lang w:val="en-US"/>
        </w:rPr>
        <w:t xml:space="preserve"> Doc</w:t>
      </w:r>
      <w:r w:rsidRPr="00442E21">
        <w:rPr>
          <w:rFonts w:ascii="Arial" w:hAnsi="Arial" w:cs="Arial"/>
          <w:i/>
          <w:sz w:val="18"/>
          <w:szCs w:val="18"/>
          <w:lang w:val="en-US"/>
        </w:rPr>
        <w:t xml:space="preserve">. </w:t>
      </w:r>
      <w:r w:rsidRPr="00442E21">
        <w:rPr>
          <w:rFonts w:ascii="Arial" w:hAnsi="Arial" w:cs="Arial"/>
          <w:sz w:val="18"/>
          <w:szCs w:val="18"/>
          <w:lang w:val="en-US"/>
        </w:rPr>
        <w:t xml:space="preserve">UN  System Task Team on the Post-2015 UN Development Agenda, </w:t>
      </w:r>
      <w:r w:rsidRPr="00442E21">
        <w:rPr>
          <w:rFonts w:ascii="Arial" w:hAnsi="Arial" w:cs="Arial"/>
          <w:i/>
          <w:sz w:val="18"/>
          <w:szCs w:val="18"/>
          <w:lang w:val="en-US"/>
        </w:rPr>
        <w:t>Realizing the Future We Want for All,</w:t>
      </w:r>
      <w:r w:rsidRPr="00442E21">
        <w:rPr>
          <w:rFonts w:ascii="Arial" w:hAnsi="Arial" w:cs="Arial"/>
          <w:sz w:val="18"/>
          <w:szCs w:val="18"/>
          <w:lang w:val="en-US"/>
        </w:rPr>
        <w:t xml:space="preserve"> Report to the Secretary -General , New York, June 2012, en </w:t>
      </w:r>
      <w:hyperlink r:id="rId7" w:history="1">
        <w:r w:rsidRPr="00442E21">
          <w:rPr>
            <w:rStyle w:val="Hipervnculo"/>
            <w:rFonts w:ascii="Arial" w:hAnsi="Arial" w:cs="Arial"/>
            <w:i/>
            <w:color w:val="auto"/>
            <w:sz w:val="18"/>
            <w:szCs w:val="18"/>
            <w:u w:val="none"/>
            <w:lang w:val="en-US"/>
          </w:rPr>
          <w:t>http://www.un.org/millenniumgoals/pdf/post_2015_unttreport.pdf</w:t>
        </w:r>
      </w:hyperlink>
      <w:r w:rsidRPr="00442E21">
        <w:rPr>
          <w:rFonts w:ascii="Arial" w:hAnsi="Arial" w:cs="Arial"/>
          <w:lang w:val="en-US"/>
        </w:rPr>
        <w:t xml:space="preserve"> </w:t>
      </w:r>
    </w:p>
  </w:footnote>
  <w:footnote w:id="16">
    <w:p w:rsidR="008F486E" w:rsidRPr="00AD0F70" w:rsidRDefault="008F486E" w:rsidP="00FE3C9C">
      <w:pPr>
        <w:pStyle w:val="Textonotapie"/>
        <w:jc w:val="both"/>
        <w:rPr>
          <w:rFonts w:ascii="Times New Roman" w:hAnsi="Times New Roman" w:cs="Times New Roman"/>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Doc. </w:t>
      </w:r>
      <w:r w:rsidRPr="00442E21">
        <w:rPr>
          <w:rFonts w:ascii="Arial" w:hAnsi="Arial" w:cs="Arial"/>
          <w:i/>
          <w:sz w:val="18"/>
          <w:szCs w:val="18"/>
        </w:rPr>
        <w:t>AGNU A/AC.105/1063, 14 abril 2014</w:t>
      </w:r>
      <w:r w:rsidRPr="00442E21">
        <w:rPr>
          <w:rFonts w:ascii="Arial" w:hAnsi="Arial" w:cs="Arial"/>
          <w:sz w:val="18"/>
          <w:szCs w:val="18"/>
        </w:rPr>
        <w:t xml:space="preserve">, </w:t>
      </w:r>
      <w:r w:rsidRPr="00442E21">
        <w:rPr>
          <w:rFonts w:ascii="Arial" w:hAnsi="Arial" w:cs="Arial"/>
          <w:i/>
          <w:sz w:val="18"/>
          <w:szCs w:val="18"/>
        </w:rPr>
        <w:t>COPUOS</w:t>
      </w:r>
      <w:r w:rsidRPr="00442E21">
        <w:rPr>
          <w:rFonts w:ascii="Arial" w:hAnsi="Arial" w:cs="Arial"/>
          <w:sz w:val="18"/>
          <w:szCs w:val="18"/>
        </w:rPr>
        <w:t xml:space="preserve">, 57 </w:t>
      </w:r>
      <w:proofErr w:type="gramStart"/>
      <w:r w:rsidRPr="00442E21">
        <w:rPr>
          <w:rFonts w:ascii="Arial" w:hAnsi="Arial" w:cs="Arial"/>
          <w:sz w:val="18"/>
          <w:szCs w:val="18"/>
        </w:rPr>
        <w:t>período</w:t>
      </w:r>
      <w:proofErr w:type="gramEnd"/>
      <w:r w:rsidRPr="00442E21">
        <w:rPr>
          <w:rFonts w:ascii="Arial" w:hAnsi="Arial" w:cs="Arial"/>
          <w:sz w:val="18"/>
          <w:szCs w:val="18"/>
        </w:rPr>
        <w:t xml:space="preserve"> de sesiones, Viena, 11 a 20 de junio de 2014, </w:t>
      </w:r>
      <w:r w:rsidRPr="00442E21">
        <w:rPr>
          <w:rFonts w:ascii="Arial" w:hAnsi="Arial" w:cs="Arial"/>
          <w:i/>
          <w:sz w:val="18"/>
          <w:szCs w:val="18"/>
        </w:rPr>
        <w:t>Coordinación de las actividades relativas al espacio ultraterrestre en el sistema de las Naciones Unidas: orientaciones y resultados previstos para el período 2014-2015 teniendo en cuenta la Agenda para el desarrollo después de 2015” (Informe del Secretario General).</w:t>
      </w:r>
    </w:p>
  </w:footnote>
  <w:footnote w:id="17">
    <w:p w:rsidR="008F486E" w:rsidRPr="00442E21" w:rsidRDefault="008F486E" w:rsidP="004E7BAB">
      <w:pPr>
        <w:pStyle w:val="Textonotapie"/>
        <w:jc w:val="both"/>
        <w:rPr>
          <w:rFonts w:ascii="Arial" w:hAnsi="Arial" w:cs="Arial"/>
          <w:i/>
          <w:sz w:val="18"/>
          <w:szCs w:val="18"/>
          <w:lang w:val="en-US"/>
        </w:rPr>
      </w:pPr>
      <w:r w:rsidRPr="00442E21">
        <w:rPr>
          <w:rStyle w:val="Refdenotaalpie"/>
          <w:rFonts w:ascii="Arial" w:hAnsi="Arial" w:cs="Arial"/>
          <w:sz w:val="18"/>
          <w:szCs w:val="18"/>
        </w:rPr>
        <w:footnoteRef/>
      </w:r>
      <w:r w:rsidRPr="00442E21">
        <w:rPr>
          <w:rFonts w:ascii="Arial" w:hAnsi="Arial" w:cs="Arial"/>
          <w:sz w:val="18"/>
          <w:szCs w:val="18"/>
        </w:rPr>
        <w:t xml:space="preserve"> Véase texto de la declaración de Estambul en Doc</w:t>
      </w:r>
      <w:r w:rsidRPr="00442E21">
        <w:rPr>
          <w:rFonts w:ascii="Arial" w:hAnsi="Arial" w:cs="Arial"/>
          <w:i/>
          <w:sz w:val="18"/>
          <w:szCs w:val="18"/>
        </w:rPr>
        <w:t xml:space="preserve">. </w:t>
      </w:r>
      <w:r w:rsidRPr="00442E21">
        <w:rPr>
          <w:rFonts w:ascii="Arial" w:hAnsi="Arial" w:cs="Arial"/>
          <w:i/>
          <w:sz w:val="18"/>
          <w:szCs w:val="18"/>
          <w:lang w:val="en-US"/>
        </w:rPr>
        <w:t>IAM/2013/CRP.6</w:t>
      </w:r>
      <w:r w:rsidRPr="00442E21">
        <w:rPr>
          <w:rFonts w:ascii="Arial" w:hAnsi="Arial" w:cs="Arial"/>
          <w:sz w:val="18"/>
          <w:szCs w:val="18"/>
          <w:lang w:val="en-US"/>
        </w:rPr>
        <w:t xml:space="preserve">, United Nations Inter-Agency Meeting on Outer Space Activities, Thirty third Session, 12-14 March 2013, </w:t>
      </w:r>
      <w:proofErr w:type="spellStart"/>
      <w:r w:rsidRPr="00442E21">
        <w:rPr>
          <w:rFonts w:ascii="Arial" w:hAnsi="Arial" w:cs="Arial"/>
          <w:sz w:val="18"/>
          <w:szCs w:val="18"/>
          <w:lang w:val="en-US"/>
        </w:rPr>
        <w:t>Geneve</w:t>
      </w:r>
      <w:proofErr w:type="spellEnd"/>
      <w:r w:rsidRPr="00442E21">
        <w:rPr>
          <w:rFonts w:ascii="Arial" w:hAnsi="Arial" w:cs="Arial"/>
          <w:sz w:val="18"/>
          <w:szCs w:val="18"/>
          <w:lang w:val="en-US"/>
        </w:rPr>
        <w:t xml:space="preserve">, Switzerland, </w:t>
      </w:r>
      <w:proofErr w:type="spellStart"/>
      <w:r w:rsidRPr="00442E21">
        <w:rPr>
          <w:rFonts w:ascii="Arial" w:hAnsi="Arial" w:cs="Arial"/>
          <w:i/>
          <w:sz w:val="18"/>
          <w:szCs w:val="18"/>
          <w:lang w:val="en-US"/>
        </w:rPr>
        <w:t>Istambul</w:t>
      </w:r>
      <w:proofErr w:type="spellEnd"/>
      <w:r w:rsidRPr="00442E21">
        <w:rPr>
          <w:rFonts w:ascii="Arial" w:hAnsi="Arial" w:cs="Arial"/>
          <w:i/>
          <w:sz w:val="18"/>
          <w:szCs w:val="18"/>
          <w:lang w:val="en-US"/>
        </w:rPr>
        <w:t xml:space="preserve"> Declaration.</w:t>
      </w:r>
    </w:p>
  </w:footnote>
  <w:footnote w:id="18">
    <w:p w:rsidR="008F486E" w:rsidRPr="00AD0F70" w:rsidRDefault="008F486E" w:rsidP="00BF5FD0">
      <w:pPr>
        <w:pStyle w:val="Textonotapie"/>
        <w:jc w:val="both"/>
        <w:rPr>
          <w:rFonts w:ascii="Times New Roman" w:hAnsi="Times New Roman" w:cs="Times New Roman"/>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hyperlink r:id="rId8" w:history="1">
        <w:r w:rsidRPr="00442E21">
          <w:rPr>
            <w:rStyle w:val="Hipervnculo"/>
            <w:rFonts w:ascii="Arial" w:hAnsi="Arial" w:cs="Arial"/>
            <w:i/>
            <w:color w:val="auto"/>
            <w:sz w:val="18"/>
            <w:szCs w:val="18"/>
            <w:u w:val="none"/>
          </w:rPr>
          <w:t>http://www.unoosa.org</w:t>
        </w:r>
      </w:hyperlink>
      <w:r w:rsidRPr="00AD0F70">
        <w:rPr>
          <w:rFonts w:ascii="Times New Roman" w:hAnsi="Times New Roman" w:cs="Times New Roman"/>
          <w:i/>
          <w:sz w:val="18"/>
          <w:szCs w:val="18"/>
        </w:rPr>
        <w:t xml:space="preserve"> </w:t>
      </w:r>
    </w:p>
  </w:footnote>
  <w:footnote w:id="19">
    <w:p w:rsidR="008F486E" w:rsidRPr="00442E21" w:rsidRDefault="008F486E" w:rsidP="001A1E9C">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MORO AGUILAR, R., “COPUOS”, en </w:t>
      </w:r>
      <w:r w:rsidRPr="00442E21">
        <w:rPr>
          <w:rFonts w:ascii="Arial" w:hAnsi="Arial" w:cs="Arial"/>
          <w:i/>
          <w:sz w:val="18"/>
          <w:szCs w:val="18"/>
        </w:rPr>
        <w:t>Curso General sobre Derecho Espacial</w:t>
      </w:r>
      <w:r w:rsidRPr="00442E21">
        <w:rPr>
          <w:rFonts w:ascii="Arial" w:hAnsi="Arial" w:cs="Arial"/>
          <w:sz w:val="18"/>
          <w:szCs w:val="18"/>
        </w:rPr>
        <w:t>, IIDAEAC, Madrid 2011, pp. 36 y ss.</w:t>
      </w:r>
    </w:p>
  </w:footnote>
  <w:footnote w:id="20">
    <w:p w:rsidR="008F486E" w:rsidRPr="00442E21" w:rsidRDefault="008F486E" w:rsidP="00D60ADF">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La Resolución AGNU A/RES/69/85 viene complementada por el </w:t>
      </w:r>
      <w:r w:rsidRPr="00442E21">
        <w:rPr>
          <w:rFonts w:ascii="Arial" w:hAnsi="Arial" w:cs="Arial"/>
          <w:i/>
          <w:sz w:val="18"/>
          <w:szCs w:val="18"/>
        </w:rPr>
        <w:t>Doc. AGNU A/AC.105/1063, de 14 de abril, 2014</w:t>
      </w:r>
      <w:r w:rsidRPr="00442E21">
        <w:rPr>
          <w:rFonts w:ascii="Arial" w:hAnsi="Arial" w:cs="Arial"/>
          <w:sz w:val="18"/>
          <w:szCs w:val="18"/>
        </w:rPr>
        <w:t xml:space="preserve">, COPUOS, 57 periodo de sesiones, Viena, 11 a 20 de junio de 2014 </w:t>
      </w:r>
      <w:r w:rsidRPr="00442E21">
        <w:rPr>
          <w:rFonts w:ascii="Arial" w:hAnsi="Arial" w:cs="Arial"/>
          <w:i/>
          <w:sz w:val="18"/>
          <w:szCs w:val="18"/>
        </w:rPr>
        <w:t>Coordinación de las actividades relativas al espacio ultraterrestre en el Sistema de las Naciones Unidas: orientaciones y resultados previstos para el período 2014-2015 teniendo en cuenta la Agenda para el desarrollo después de 2015 (Informe del Secretario General)</w:t>
      </w:r>
      <w:r w:rsidRPr="00442E21">
        <w:rPr>
          <w:rFonts w:ascii="Arial" w:hAnsi="Arial" w:cs="Arial"/>
          <w:sz w:val="18"/>
          <w:szCs w:val="18"/>
        </w:rPr>
        <w:t>.</w:t>
      </w:r>
    </w:p>
  </w:footnote>
  <w:footnote w:id="21">
    <w:p w:rsidR="008F486E" w:rsidRPr="00442E21" w:rsidRDefault="008F486E" w:rsidP="00500A4A">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Doc. </w:t>
      </w:r>
      <w:r w:rsidRPr="00442E21">
        <w:rPr>
          <w:rFonts w:ascii="Arial" w:hAnsi="Arial" w:cs="Arial"/>
          <w:i/>
          <w:sz w:val="18"/>
          <w:szCs w:val="18"/>
        </w:rPr>
        <w:t>AGNU A/AC.105/1091</w:t>
      </w:r>
      <w:r w:rsidRPr="00442E21">
        <w:rPr>
          <w:rFonts w:ascii="Arial" w:hAnsi="Arial" w:cs="Arial"/>
          <w:sz w:val="18"/>
          <w:szCs w:val="18"/>
        </w:rPr>
        <w:t xml:space="preserve">, de 30 de abril de 2015, COPUOS, </w:t>
      </w:r>
      <w:r w:rsidRPr="00442E21">
        <w:rPr>
          <w:rFonts w:ascii="Arial" w:hAnsi="Arial" w:cs="Arial"/>
          <w:i/>
          <w:sz w:val="18"/>
          <w:szCs w:val="18"/>
        </w:rPr>
        <w:t>El espacio al servicio de la salud mundial,</w:t>
      </w:r>
      <w:r w:rsidRPr="00442E21">
        <w:rPr>
          <w:rFonts w:ascii="Arial" w:hAnsi="Arial" w:cs="Arial"/>
          <w:sz w:val="18"/>
          <w:szCs w:val="18"/>
        </w:rPr>
        <w:t xml:space="preserve"> </w:t>
      </w:r>
      <w:r w:rsidRPr="00442E21">
        <w:rPr>
          <w:rFonts w:ascii="Arial" w:hAnsi="Arial" w:cs="Arial"/>
          <w:i/>
          <w:sz w:val="18"/>
          <w:szCs w:val="18"/>
        </w:rPr>
        <w:t>Informe especial de la reunión Interinstitucional sobre las actividades relativas al espacio ultraterrestre acerca del uso de la ciencia y la tecnología espaciales en el sistema de las Naciones Unidas al servicio de la salud mundial</w:t>
      </w:r>
      <w:r w:rsidRPr="00442E21">
        <w:rPr>
          <w:rFonts w:ascii="Arial" w:hAnsi="Arial" w:cs="Arial"/>
          <w:sz w:val="18"/>
          <w:szCs w:val="18"/>
        </w:rPr>
        <w:t xml:space="preserve">. “Por conducto del programa de las Naciones Unidas de Aplicaciones de la Tecnología Espacial, la Oficina de Asuntos del Espacio Ultraterrestre también prestó servicios de asesoramiento y apoyo financiero a la Comisión Nacional de Actividades Espaciales (CONAE) de la Argentina para organizar la Tercera Escuela Internacional de Entrenamiento Avanzado en Epidemiología Panorámica, que tuvo lugar del 27 de mayo al 7 de junio de 2013 en el Instituto Mario </w:t>
      </w:r>
      <w:proofErr w:type="spellStart"/>
      <w:r w:rsidRPr="00442E21">
        <w:rPr>
          <w:rFonts w:ascii="Arial" w:hAnsi="Arial" w:cs="Arial"/>
          <w:sz w:val="18"/>
          <w:szCs w:val="18"/>
        </w:rPr>
        <w:t>Gulich</w:t>
      </w:r>
      <w:proofErr w:type="spellEnd"/>
      <w:r w:rsidRPr="00442E21">
        <w:rPr>
          <w:rFonts w:ascii="Arial" w:hAnsi="Arial" w:cs="Arial"/>
          <w:sz w:val="18"/>
          <w:szCs w:val="18"/>
        </w:rPr>
        <w:t xml:space="preserve"> de Altos Estudios Espaciales, con sede en Córdoba (Argentina). El programa de capacitación se organizó para ayudar a los organismos espaciales nacionales e instituciones académicas y de investigación de los países en desarrollo de la región a aumentar el uso de instrumentación espacial en la epidemiología panorámica.</w:t>
      </w:r>
    </w:p>
  </w:footnote>
  <w:footnote w:id="22">
    <w:p w:rsidR="008F486E" w:rsidRPr="00442E21" w:rsidRDefault="008F486E" w:rsidP="00086113">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A/AC.105/1161, de 18 de septiembre de 2017, Comisión sobre la Utilización del Espacio</w:t>
      </w:r>
    </w:p>
    <w:p w:rsidR="008F486E" w:rsidRPr="00442E21" w:rsidRDefault="008F486E" w:rsidP="00086113">
      <w:pPr>
        <w:pStyle w:val="Textonotapie"/>
        <w:jc w:val="both"/>
        <w:rPr>
          <w:rFonts w:ascii="Arial" w:hAnsi="Arial" w:cs="Arial"/>
          <w:sz w:val="18"/>
          <w:szCs w:val="18"/>
        </w:rPr>
      </w:pPr>
      <w:r w:rsidRPr="00442E21">
        <w:rPr>
          <w:rFonts w:ascii="Arial" w:hAnsi="Arial" w:cs="Arial"/>
          <w:sz w:val="18"/>
          <w:szCs w:val="18"/>
        </w:rPr>
        <w:t xml:space="preserve">Ultraterrestre con Fines Pacíficos, </w:t>
      </w:r>
      <w:r w:rsidRPr="00442E21">
        <w:rPr>
          <w:rFonts w:ascii="Arial" w:hAnsi="Arial" w:cs="Arial"/>
          <w:i/>
          <w:sz w:val="18"/>
          <w:szCs w:val="18"/>
        </w:rPr>
        <w:t>Informe sobre la Conferencia de las Naciones Unidas, la Organización Mundial de la Salud y Suiza sobre el Fortalecimiento de la Cooperación Espacial en pro de la Salud Mundial, (Ginebra, 23 a 25 de agosto de 2017).</w:t>
      </w:r>
    </w:p>
  </w:footnote>
  <w:footnote w:id="23">
    <w:p w:rsidR="008F486E" w:rsidRPr="00442E21" w:rsidRDefault="008F486E" w:rsidP="00C06BC1">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La Organización Mundial de la Salud (OMS) y la Unión Internacional de Telecomunicaciones (UIT/ITU) han elaborado un Manual para Estrategias Nacionales de </w:t>
      </w:r>
      <w:proofErr w:type="spellStart"/>
      <w:r w:rsidRPr="00442E21">
        <w:rPr>
          <w:rFonts w:ascii="Arial" w:hAnsi="Arial" w:cs="Arial"/>
          <w:sz w:val="18"/>
          <w:szCs w:val="18"/>
        </w:rPr>
        <w:t>Cibersalud</w:t>
      </w:r>
      <w:proofErr w:type="spellEnd"/>
      <w:r w:rsidRPr="00442E21">
        <w:rPr>
          <w:rFonts w:ascii="Arial" w:hAnsi="Arial" w:cs="Arial"/>
          <w:sz w:val="18"/>
          <w:szCs w:val="18"/>
        </w:rPr>
        <w:t xml:space="preserve"> (</w:t>
      </w:r>
      <w:proofErr w:type="spellStart"/>
      <w:r w:rsidRPr="00442E21">
        <w:rPr>
          <w:rFonts w:ascii="Arial" w:hAnsi="Arial" w:cs="Arial"/>
          <w:i/>
          <w:sz w:val="18"/>
          <w:szCs w:val="18"/>
        </w:rPr>
        <w:t>National</w:t>
      </w:r>
      <w:proofErr w:type="spellEnd"/>
      <w:r w:rsidRPr="00442E21">
        <w:rPr>
          <w:rFonts w:ascii="Arial" w:hAnsi="Arial" w:cs="Arial"/>
          <w:i/>
          <w:sz w:val="18"/>
          <w:szCs w:val="18"/>
        </w:rPr>
        <w:t xml:space="preserve"> </w:t>
      </w:r>
      <w:proofErr w:type="spellStart"/>
      <w:r w:rsidRPr="00442E21">
        <w:rPr>
          <w:rFonts w:ascii="Arial" w:hAnsi="Arial" w:cs="Arial"/>
          <w:i/>
          <w:sz w:val="18"/>
          <w:szCs w:val="18"/>
        </w:rPr>
        <w:t>eHealth</w:t>
      </w:r>
      <w:proofErr w:type="spellEnd"/>
      <w:r w:rsidRPr="00442E21">
        <w:rPr>
          <w:rFonts w:ascii="Arial" w:hAnsi="Arial" w:cs="Arial"/>
          <w:i/>
          <w:sz w:val="18"/>
          <w:szCs w:val="18"/>
        </w:rPr>
        <w:t xml:space="preserve"> </w:t>
      </w:r>
      <w:proofErr w:type="spellStart"/>
      <w:r w:rsidRPr="00442E21">
        <w:rPr>
          <w:rFonts w:ascii="Arial" w:hAnsi="Arial" w:cs="Arial"/>
          <w:i/>
          <w:sz w:val="18"/>
          <w:szCs w:val="18"/>
        </w:rPr>
        <w:t>Strategy</w:t>
      </w:r>
      <w:proofErr w:type="spellEnd"/>
      <w:r w:rsidRPr="00442E21">
        <w:rPr>
          <w:rFonts w:ascii="Arial" w:hAnsi="Arial" w:cs="Arial"/>
          <w:i/>
          <w:sz w:val="18"/>
          <w:szCs w:val="18"/>
        </w:rPr>
        <w:t xml:space="preserve"> </w:t>
      </w:r>
      <w:proofErr w:type="spellStart"/>
      <w:r w:rsidRPr="00442E21">
        <w:rPr>
          <w:rFonts w:ascii="Arial" w:hAnsi="Arial" w:cs="Arial"/>
          <w:i/>
          <w:sz w:val="18"/>
          <w:szCs w:val="18"/>
        </w:rPr>
        <w:t>Toolkit</w:t>
      </w:r>
      <w:proofErr w:type="spellEnd"/>
      <w:r w:rsidRPr="00442E21">
        <w:rPr>
          <w:rFonts w:ascii="Arial" w:hAnsi="Arial" w:cs="Arial"/>
          <w:sz w:val="18"/>
          <w:szCs w:val="18"/>
        </w:rPr>
        <w:t>). Varias Comisiones de la UIT se han ocupado de cuestiones de la Salud (nº 2, 16 y 17).</w:t>
      </w:r>
    </w:p>
  </w:footnote>
  <w:footnote w:id="24">
    <w:p w:rsidR="008F486E" w:rsidRPr="00AD0F70" w:rsidRDefault="008F486E" w:rsidP="000F4499">
      <w:pPr>
        <w:pStyle w:val="Textonotapie"/>
        <w:jc w:val="both"/>
        <w:rPr>
          <w:rFonts w:ascii="Times New Roman" w:hAnsi="Times New Roman" w:cs="Times New Roman"/>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En el ámbito de la telemedicina, cabe reseñar la continua colaboración entre la Oficina Regional para Europa de la OMS y la Agencia Espacial Europea (ESA) en el consorcio denominado “ALIANZA” para la telemedicina, bajo los auspicios de la Dirección General de Sociedad de la Información y Medios de Información de la Comisión Europea. La publicación del programa de telemedicina por satélite de la ESA y el establecimiento de un equipo de tareas sobre telemedicina en el África Subsahariana, integrado por organizaciones regionales africanas, la OMS, la Comisión Europea y la Agencia Espacial Europea.</w:t>
      </w:r>
    </w:p>
  </w:footnote>
  <w:footnote w:id="25">
    <w:p w:rsidR="008F486E" w:rsidRPr="00442E21" w:rsidRDefault="008F486E" w:rsidP="002468FB">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Vid. </w:t>
      </w:r>
      <w:r w:rsidRPr="00442E21">
        <w:rPr>
          <w:rFonts w:ascii="Arial" w:hAnsi="Arial" w:cs="Arial"/>
          <w:i/>
          <w:sz w:val="18"/>
          <w:szCs w:val="18"/>
        </w:rPr>
        <w:t>Doc. AGNU A/AC.105/1065</w:t>
      </w:r>
      <w:r w:rsidRPr="00442E21">
        <w:rPr>
          <w:rFonts w:ascii="Arial" w:hAnsi="Arial" w:cs="Arial"/>
          <w:sz w:val="18"/>
          <w:szCs w:val="18"/>
        </w:rPr>
        <w:t xml:space="preserve">, de 4 de marzo de 2014, COPUOS, 57º Período de sesiones, Viena, 11 a 20 de junio de 2014, Informe de la Subcomisión de Asuntos Científicos y Técnicos sobre su 51º período de sesiones, celebrado en Viena del 10 al 21 de febrero de 2014, punto III, </w:t>
      </w:r>
      <w:r w:rsidRPr="00442E21">
        <w:rPr>
          <w:rFonts w:ascii="Arial" w:hAnsi="Arial" w:cs="Arial"/>
          <w:i/>
          <w:sz w:val="18"/>
          <w:szCs w:val="18"/>
        </w:rPr>
        <w:t>La tecnología espacial al servicio del desarrollo socioeconómico, en el contexto de la Conferencia de las Naciones Unidas sobre el desarrollo sostenible y la agenda para el desarrollo después de 2015</w:t>
      </w:r>
      <w:r w:rsidRPr="00442E21">
        <w:rPr>
          <w:rFonts w:ascii="Arial" w:hAnsi="Arial" w:cs="Arial"/>
          <w:sz w:val="18"/>
          <w:szCs w:val="18"/>
        </w:rPr>
        <w:t>.</w:t>
      </w:r>
    </w:p>
  </w:footnote>
  <w:footnote w:id="26">
    <w:p w:rsidR="008F486E" w:rsidRPr="00442E21" w:rsidRDefault="008F486E" w:rsidP="006D1349">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Doc. AGNU</w:t>
      </w:r>
      <w:r w:rsidRPr="00442E21">
        <w:rPr>
          <w:rFonts w:ascii="Arial" w:hAnsi="Arial" w:cs="Arial"/>
          <w:i/>
          <w:sz w:val="18"/>
          <w:szCs w:val="18"/>
        </w:rPr>
        <w:t xml:space="preserve"> A/AC.105/1064</w:t>
      </w:r>
      <w:r w:rsidRPr="00442E21">
        <w:rPr>
          <w:rFonts w:ascii="Arial" w:hAnsi="Arial" w:cs="Arial"/>
          <w:sz w:val="18"/>
          <w:szCs w:val="18"/>
        </w:rPr>
        <w:t xml:space="preserve">, de 23 de mayo de 2014, COPUOS, </w:t>
      </w:r>
      <w:r w:rsidRPr="00442E21">
        <w:rPr>
          <w:rFonts w:ascii="Arial" w:hAnsi="Arial" w:cs="Arial"/>
          <w:i/>
          <w:sz w:val="18"/>
          <w:szCs w:val="18"/>
        </w:rPr>
        <w:t>Informe de la Reunión Interinstitucional sobre las actividades relativas al espacio ultraterrestre acerca de su 34º período de sesiones,</w:t>
      </w:r>
      <w:r w:rsidRPr="00442E21">
        <w:rPr>
          <w:rFonts w:ascii="Arial" w:hAnsi="Arial" w:cs="Arial"/>
          <w:sz w:val="18"/>
          <w:szCs w:val="18"/>
        </w:rPr>
        <w:t xml:space="preserve"> Nueva York, 13 y 14 de mayo de 2014.</w:t>
      </w:r>
    </w:p>
  </w:footnote>
  <w:footnote w:id="27">
    <w:p w:rsidR="008F486E" w:rsidRPr="00AD0F70" w:rsidRDefault="008F486E" w:rsidP="00010135">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WILLIAMS, S.M., “El Riesgo Creciente de los Residuos Espaciales”, </w:t>
      </w:r>
      <w:r w:rsidRPr="00442E21">
        <w:rPr>
          <w:rFonts w:ascii="Arial" w:hAnsi="Arial" w:cs="Arial"/>
          <w:i/>
          <w:sz w:val="18"/>
          <w:szCs w:val="18"/>
        </w:rPr>
        <w:t>en XL Jornadas Iberoamericanas de Derecho Aeronáutico y del Espacio y de la Aviación Comercia</w:t>
      </w:r>
      <w:r w:rsidRPr="00442E21">
        <w:rPr>
          <w:rFonts w:ascii="Arial" w:hAnsi="Arial" w:cs="Arial"/>
          <w:sz w:val="18"/>
          <w:szCs w:val="18"/>
        </w:rPr>
        <w:t>l, IIDAEAC, Madrid 2012,  pp. 215 y ss.</w:t>
      </w:r>
    </w:p>
  </w:footnote>
  <w:footnote w:id="28">
    <w:p w:rsidR="008F486E" w:rsidRPr="00442E21" w:rsidRDefault="008F486E" w:rsidP="00F65397">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Véase el interesante artículo de Jaime </w:t>
      </w:r>
      <w:proofErr w:type="spellStart"/>
      <w:r w:rsidRPr="00442E21">
        <w:rPr>
          <w:rFonts w:ascii="Arial" w:hAnsi="Arial" w:cs="Arial"/>
          <w:sz w:val="18"/>
          <w:szCs w:val="18"/>
        </w:rPr>
        <w:t>Barberís</w:t>
      </w:r>
      <w:proofErr w:type="spellEnd"/>
      <w:r w:rsidRPr="00442E21">
        <w:rPr>
          <w:rFonts w:ascii="Arial" w:hAnsi="Arial" w:cs="Arial"/>
          <w:sz w:val="18"/>
          <w:szCs w:val="18"/>
        </w:rPr>
        <w:t xml:space="preserve"> </w:t>
      </w:r>
      <w:proofErr w:type="spellStart"/>
      <w:r w:rsidRPr="00442E21">
        <w:rPr>
          <w:rFonts w:ascii="Arial" w:hAnsi="Arial" w:cs="Arial"/>
          <w:sz w:val="18"/>
          <w:szCs w:val="18"/>
        </w:rPr>
        <w:t>Martinez</w:t>
      </w:r>
      <w:proofErr w:type="spellEnd"/>
      <w:r w:rsidRPr="00442E21">
        <w:rPr>
          <w:rFonts w:ascii="Arial" w:hAnsi="Arial" w:cs="Arial"/>
          <w:sz w:val="18"/>
          <w:szCs w:val="18"/>
        </w:rPr>
        <w:t xml:space="preserve">, “Presente y futuro de la Conferencia Espacial de las Américas”, en </w:t>
      </w:r>
      <w:hyperlink r:id="rId9" w:history="1">
        <w:r w:rsidRPr="00442E21">
          <w:rPr>
            <w:rStyle w:val="Hipervnculo"/>
            <w:rFonts w:ascii="Arial" w:hAnsi="Arial" w:cs="Arial"/>
            <w:i/>
            <w:color w:val="auto"/>
            <w:sz w:val="18"/>
            <w:szCs w:val="18"/>
            <w:u w:val="none"/>
          </w:rPr>
          <w:t>http://www.afese.com/img/revistas/revista50/prefutesp.pdf</w:t>
        </w:r>
      </w:hyperlink>
      <w:r w:rsidRPr="00442E21">
        <w:rPr>
          <w:rFonts w:ascii="Arial" w:hAnsi="Arial" w:cs="Arial"/>
        </w:rPr>
        <w:t xml:space="preserve"> </w:t>
      </w:r>
    </w:p>
  </w:footnote>
  <w:footnote w:id="29">
    <w:p w:rsidR="008F486E" w:rsidRPr="00442E21" w:rsidRDefault="008F486E" w:rsidP="00DB6146">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A/AC.105/1137, de 20 de septiembre de 2016, COPUOS</w:t>
      </w:r>
      <w:r w:rsidRPr="00442E21">
        <w:rPr>
          <w:rFonts w:ascii="Arial" w:hAnsi="Arial" w:cs="Arial"/>
          <w:i/>
          <w:sz w:val="18"/>
          <w:szCs w:val="18"/>
        </w:rPr>
        <w:t>, 50º aniversario de la Conferencia de las Naciones Unidas sobre la Exploración y Utilización del Espacio Ultraterrestre con Fines Pacíficos: la Comisión sobre la Utilización del Espacio Ultraterrestre con Fines Pacíficos y la gobernanza global de las actividades en el espacio ultraterrestre</w:t>
      </w:r>
      <w:r w:rsidRPr="00442E21">
        <w:rPr>
          <w:rFonts w:ascii="Arial" w:hAnsi="Arial" w:cs="Arial"/>
          <w:sz w:val="18"/>
          <w:szCs w:val="18"/>
        </w:rPr>
        <w:t xml:space="preserve">.   El </w:t>
      </w:r>
      <w:r w:rsidRPr="00442E21">
        <w:rPr>
          <w:rFonts w:ascii="Arial" w:hAnsi="Arial" w:cs="Arial"/>
          <w:i/>
          <w:sz w:val="18"/>
          <w:szCs w:val="18"/>
        </w:rPr>
        <w:t>Marco de Sendai</w:t>
      </w:r>
      <w:r w:rsidRPr="00442E21">
        <w:rPr>
          <w:rFonts w:ascii="Arial" w:hAnsi="Arial" w:cs="Arial"/>
          <w:sz w:val="18"/>
          <w:szCs w:val="18"/>
        </w:rPr>
        <w:t xml:space="preserve"> reconoce el valor de la tecnología basada en el espacio y la observación de la Tierra para la gestión de desastres y la respuesta de emergencia, dado que allanan el camino hacia sociedades más </w:t>
      </w:r>
      <w:proofErr w:type="spellStart"/>
      <w:r w:rsidRPr="00442E21">
        <w:rPr>
          <w:rFonts w:ascii="Arial" w:hAnsi="Arial" w:cs="Arial"/>
          <w:sz w:val="18"/>
          <w:szCs w:val="18"/>
        </w:rPr>
        <w:t>resilientes</w:t>
      </w:r>
      <w:proofErr w:type="spellEnd"/>
      <w:r w:rsidRPr="00442E21">
        <w:rPr>
          <w:rFonts w:ascii="Arial" w:hAnsi="Arial" w:cs="Arial"/>
          <w:sz w:val="18"/>
          <w:szCs w:val="18"/>
        </w:rPr>
        <w:t xml:space="preserve">. En el Marco se incluyen referencias específicas a la importancia de utilizar la información recopilada in situ y por las plataformas basadas en el espacio para la evaluación del riesgo previo a los desastres, para la prevención y mitigación y para la elaboración y aplicación de medidas adecuadas de preparación y respuesta eficaz para casos de desastre. </w:t>
      </w:r>
      <w:r w:rsidRPr="00442E21">
        <w:rPr>
          <w:rFonts w:ascii="Arial" w:hAnsi="Arial" w:cs="Arial"/>
          <w:i/>
          <w:sz w:val="18"/>
          <w:szCs w:val="18"/>
        </w:rPr>
        <w:t>ONU-SPIDER</w:t>
      </w:r>
      <w:r w:rsidRPr="00442E21">
        <w:rPr>
          <w:rFonts w:ascii="Arial" w:hAnsi="Arial" w:cs="Arial"/>
          <w:sz w:val="18"/>
          <w:szCs w:val="18"/>
        </w:rPr>
        <w:t xml:space="preserve"> es un programa importante de la Oficina debido a su relación directa con el Marco de Sendai para la Reducción del Riesgo de Desastres 2015-2030 y su contribución a la aplicación del Marco de Sendai mediante misiones de asesoramiento, actividades de creación de capacidad y la difusión de información sobre su portal de conocimientos. Por su parte, </w:t>
      </w:r>
      <w:r w:rsidRPr="00442E21">
        <w:rPr>
          <w:rFonts w:ascii="Arial" w:hAnsi="Arial" w:cs="Arial"/>
          <w:i/>
          <w:sz w:val="18"/>
          <w:szCs w:val="18"/>
        </w:rPr>
        <w:t>el Equipo de Acción sobre Objetos Cercanos a la Tierra (Equipo de Acción 14)</w:t>
      </w:r>
      <w:r w:rsidRPr="00442E21">
        <w:rPr>
          <w:rFonts w:ascii="Arial" w:hAnsi="Arial" w:cs="Arial"/>
          <w:sz w:val="18"/>
          <w:szCs w:val="18"/>
        </w:rPr>
        <w:t xml:space="preserve">, en sus recomendaciones para una respuesta internacional a la amenaza de impacto que plantean los objetos cercanos a la Tierra, pidió una respuesta internacional. Las recomendaciones dieron lugar a la creación de la IAWN y el SMPAG en 2014. Las Naciones Unidas facilitan su labor, y la Oficina sirve de secretaría permanente del SMPAG. La </w:t>
      </w:r>
      <w:r w:rsidRPr="00442E21">
        <w:rPr>
          <w:rFonts w:ascii="Arial" w:hAnsi="Arial" w:cs="Arial"/>
          <w:i/>
          <w:sz w:val="18"/>
          <w:szCs w:val="18"/>
        </w:rPr>
        <w:t>Carta Internacional sobre el Espacio y los Grandes Desastres</w:t>
      </w:r>
      <w:r w:rsidRPr="00442E21">
        <w:rPr>
          <w:rFonts w:ascii="Arial" w:hAnsi="Arial" w:cs="Arial"/>
          <w:sz w:val="18"/>
          <w:szCs w:val="18"/>
        </w:rPr>
        <w:t>, creada en noviembre de 2000 aporta un sistema unificado de adquisición y entrega de datos espaciales a aquellos que han sido afectados por desastres, a través de usuarios autorizados.</w:t>
      </w:r>
    </w:p>
  </w:footnote>
  <w:footnote w:id="30">
    <w:p w:rsidR="008F486E" w:rsidRPr="00AD0F70" w:rsidRDefault="008F486E">
      <w:pPr>
        <w:pStyle w:val="Textonotapie"/>
        <w:rPr>
          <w:rFonts w:ascii="Times New Roman" w:hAnsi="Times New Roman" w:cs="Times New Roman"/>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39, de 4 de febrero de 1969.</w:t>
      </w:r>
    </w:p>
  </w:footnote>
  <w:footnote w:id="31">
    <w:p w:rsidR="008F486E" w:rsidRPr="00442E21" w:rsidRDefault="008F486E" w:rsidP="006E080D">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Vid. GABRYNOWICZ, J.I., “</w:t>
      </w:r>
      <w:proofErr w:type="spellStart"/>
      <w:r w:rsidRPr="00442E21">
        <w:rPr>
          <w:rFonts w:ascii="Arial" w:hAnsi="Arial" w:cs="Arial"/>
          <w:sz w:val="18"/>
          <w:szCs w:val="18"/>
        </w:rPr>
        <w:t>The</w:t>
      </w:r>
      <w:proofErr w:type="spellEnd"/>
      <w:r w:rsidRPr="00442E21">
        <w:rPr>
          <w:rFonts w:ascii="Arial" w:hAnsi="Arial" w:cs="Arial"/>
          <w:sz w:val="18"/>
          <w:szCs w:val="18"/>
        </w:rPr>
        <w:t xml:space="preserve"> International </w:t>
      </w:r>
      <w:proofErr w:type="spellStart"/>
      <w:r w:rsidRPr="00442E21">
        <w:rPr>
          <w:rFonts w:ascii="Arial" w:hAnsi="Arial" w:cs="Arial"/>
          <w:sz w:val="18"/>
          <w:szCs w:val="18"/>
        </w:rPr>
        <w:t>Space</w:t>
      </w:r>
      <w:proofErr w:type="spellEnd"/>
      <w:r w:rsidRPr="00442E21">
        <w:rPr>
          <w:rFonts w:ascii="Arial" w:hAnsi="Arial" w:cs="Arial"/>
          <w:sz w:val="18"/>
          <w:szCs w:val="18"/>
        </w:rPr>
        <w:t xml:space="preserve"> </w:t>
      </w:r>
      <w:proofErr w:type="spellStart"/>
      <w:r w:rsidRPr="00442E21">
        <w:rPr>
          <w:rFonts w:ascii="Arial" w:hAnsi="Arial" w:cs="Arial"/>
          <w:sz w:val="18"/>
          <w:szCs w:val="18"/>
        </w:rPr>
        <w:t>Treaty</w:t>
      </w:r>
      <w:proofErr w:type="spellEnd"/>
      <w:r w:rsidRPr="00442E21">
        <w:rPr>
          <w:rFonts w:ascii="Arial" w:hAnsi="Arial" w:cs="Arial"/>
          <w:sz w:val="18"/>
          <w:szCs w:val="18"/>
        </w:rPr>
        <w:t xml:space="preserve"> </w:t>
      </w:r>
      <w:proofErr w:type="spellStart"/>
      <w:r w:rsidRPr="00442E21">
        <w:rPr>
          <w:rFonts w:ascii="Arial" w:hAnsi="Arial" w:cs="Arial"/>
          <w:sz w:val="18"/>
          <w:szCs w:val="18"/>
        </w:rPr>
        <w:t>Regime</w:t>
      </w:r>
      <w:proofErr w:type="spellEnd"/>
      <w:r w:rsidRPr="00442E21">
        <w:rPr>
          <w:rFonts w:ascii="Arial" w:hAnsi="Arial" w:cs="Arial"/>
          <w:sz w:val="18"/>
          <w:szCs w:val="18"/>
        </w:rPr>
        <w:t xml:space="preserve"> in </w:t>
      </w:r>
      <w:proofErr w:type="spellStart"/>
      <w:r w:rsidRPr="00442E21">
        <w:rPr>
          <w:rFonts w:ascii="Arial" w:hAnsi="Arial" w:cs="Arial"/>
          <w:sz w:val="18"/>
          <w:szCs w:val="18"/>
        </w:rPr>
        <w:t>the</w:t>
      </w:r>
      <w:proofErr w:type="spellEnd"/>
      <w:r w:rsidRPr="00442E21">
        <w:rPr>
          <w:rFonts w:ascii="Arial" w:hAnsi="Arial" w:cs="Arial"/>
          <w:sz w:val="18"/>
          <w:szCs w:val="18"/>
        </w:rPr>
        <w:t xml:space="preserve"> </w:t>
      </w:r>
      <w:proofErr w:type="spellStart"/>
      <w:r w:rsidRPr="00442E21">
        <w:rPr>
          <w:rFonts w:ascii="Arial" w:hAnsi="Arial" w:cs="Arial"/>
          <w:sz w:val="18"/>
          <w:szCs w:val="18"/>
        </w:rPr>
        <w:t>Globalization</w:t>
      </w:r>
      <w:proofErr w:type="spellEnd"/>
      <w:r w:rsidRPr="00442E21">
        <w:rPr>
          <w:rFonts w:ascii="Arial" w:hAnsi="Arial" w:cs="Arial"/>
          <w:sz w:val="18"/>
          <w:szCs w:val="18"/>
        </w:rPr>
        <w:t xml:space="preserve"> Era”, </w:t>
      </w:r>
      <w:r w:rsidRPr="00442E21">
        <w:rPr>
          <w:rFonts w:ascii="Arial" w:hAnsi="Arial" w:cs="Arial"/>
          <w:i/>
          <w:sz w:val="18"/>
          <w:szCs w:val="18"/>
        </w:rPr>
        <w:t xml:space="preserve">en </w:t>
      </w:r>
      <w:hyperlink r:id="rId10" w:history="1">
        <w:r w:rsidRPr="00442E21">
          <w:rPr>
            <w:rStyle w:val="Hipervnculo"/>
            <w:rFonts w:ascii="Arial" w:hAnsi="Arial" w:cs="Arial"/>
            <w:i/>
            <w:color w:val="auto"/>
            <w:sz w:val="18"/>
            <w:szCs w:val="18"/>
            <w:u w:val="none"/>
          </w:rPr>
          <w:t>http://www.space-settlement-institute.org/articles</w:t>
        </w:r>
      </w:hyperlink>
      <w:r w:rsidRPr="00442E21">
        <w:rPr>
          <w:rFonts w:ascii="Arial" w:hAnsi="Arial" w:cs="Arial"/>
          <w:i/>
          <w:sz w:val="18"/>
          <w:szCs w:val="18"/>
        </w:rPr>
        <w:t xml:space="preserve"> .</w:t>
      </w:r>
      <w:r w:rsidRPr="00442E21">
        <w:rPr>
          <w:rFonts w:ascii="Arial" w:hAnsi="Arial" w:cs="Arial"/>
          <w:sz w:val="18"/>
          <w:szCs w:val="18"/>
        </w:rPr>
        <w:t>”El régimen jurídico del Tratado del Espacio es importante ya que apoya la seguridad nacional de los Estados Unidos y los intereses comerciales y medioambientales durante esta era de la globalización”</w:t>
      </w:r>
    </w:p>
  </w:footnote>
  <w:footnote w:id="32">
    <w:p w:rsidR="008F486E" w:rsidRPr="00442E21" w:rsidRDefault="008F486E" w:rsidP="002442E5">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proofErr w:type="gramStart"/>
      <w:r w:rsidRPr="00442E21">
        <w:rPr>
          <w:rFonts w:ascii="Arial" w:hAnsi="Arial" w:cs="Arial"/>
          <w:sz w:val="18"/>
          <w:szCs w:val="18"/>
          <w:lang w:val="en-US"/>
        </w:rPr>
        <w:t>Vid. FREELAND, S.</w:t>
      </w:r>
      <w:proofErr w:type="gramEnd"/>
      <w:r w:rsidRPr="00442E21">
        <w:rPr>
          <w:rFonts w:ascii="Arial" w:hAnsi="Arial" w:cs="Arial"/>
          <w:sz w:val="18"/>
          <w:szCs w:val="18"/>
          <w:lang w:val="en-US"/>
        </w:rPr>
        <w:t xml:space="preserve">  </w:t>
      </w:r>
      <w:proofErr w:type="gramStart"/>
      <w:r w:rsidRPr="00442E21">
        <w:rPr>
          <w:rFonts w:ascii="Arial" w:hAnsi="Arial" w:cs="Arial"/>
          <w:sz w:val="18"/>
          <w:szCs w:val="18"/>
          <w:lang w:val="en-US"/>
        </w:rPr>
        <w:t>and</w:t>
      </w:r>
      <w:proofErr w:type="gramEnd"/>
      <w:r w:rsidRPr="00442E21">
        <w:rPr>
          <w:rFonts w:ascii="Arial" w:hAnsi="Arial" w:cs="Arial"/>
          <w:sz w:val="18"/>
          <w:szCs w:val="18"/>
          <w:lang w:val="en-US"/>
        </w:rPr>
        <w:t xml:space="preserve"> JAKHU, R., “Article II”, COCOSL, Vol. 1: Outer Space Treaty, 2009, pp. 44 y ss.</w:t>
      </w:r>
    </w:p>
  </w:footnote>
  <w:footnote w:id="33">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137, de 8 de junio de 2001.</w:t>
      </w:r>
    </w:p>
  </w:footnote>
  <w:footnote w:id="34">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106, de 2 de mayo de 1980.</w:t>
      </w:r>
    </w:p>
  </w:footnote>
  <w:footnote w:id="35">
    <w:p w:rsidR="008F486E" w:rsidRPr="00442E21" w:rsidRDefault="008F486E" w:rsidP="00B248EA">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En virtud del artículo I. a) del Convenio sobre la Responsabilidad se entiende por daño “la pérdida de vidas humanas, las lesiones corporales u otros perjuicios a la salud, así como la pérdida de bienes o los perjuicios causados a bienes de estados o de personas físicas o morales, o de organizaciones internacionales intergubernamentales”.  Como puede observarse, no vienen recogidos en el concepto de daños los causados al medio ambiente.</w:t>
      </w:r>
    </w:p>
  </w:footnote>
  <w:footnote w:id="36">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25, de 29 de enero de 1979.</w:t>
      </w:r>
    </w:p>
  </w:footnote>
  <w:footnote w:id="37">
    <w:p w:rsidR="008F486E" w:rsidRPr="00442E21" w:rsidRDefault="008F486E" w:rsidP="00D575BD">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Véase el interesante Documento de Trabajo presentado por la Federación de Rusia “Consideraciones sobre el modo de consolidar la comprensión de las cuestiones relativas a la mejora de la práctica del registro de objetos espaciales, dada la necesidad de velar por la seguridad de las operaciones espaciales”, en </w:t>
      </w:r>
      <w:r w:rsidRPr="00442E21">
        <w:rPr>
          <w:rFonts w:ascii="Arial" w:hAnsi="Arial" w:cs="Arial"/>
          <w:i/>
          <w:sz w:val="18"/>
          <w:szCs w:val="18"/>
        </w:rPr>
        <w:t>Doc. A/AC.105/L.295</w:t>
      </w:r>
      <w:r w:rsidRPr="00442E21">
        <w:rPr>
          <w:rFonts w:ascii="Arial" w:hAnsi="Arial" w:cs="Arial"/>
          <w:sz w:val="18"/>
          <w:szCs w:val="18"/>
        </w:rPr>
        <w:t xml:space="preserve">, de 15 de abril de 2015, COPUOS, 58º periodo de sesiones, Viena, 10 a 19 de junio de 2015. En virtud de la Propuesta rusa, los Estados y Organizaciones Internacionales, en aras de garantizar una seguridad de las operaciones espaciales, </w:t>
      </w:r>
      <w:r w:rsidRPr="00442E21">
        <w:rPr>
          <w:rFonts w:ascii="Arial" w:hAnsi="Arial" w:cs="Arial"/>
          <w:i/>
          <w:sz w:val="18"/>
          <w:szCs w:val="18"/>
        </w:rPr>
        <w:t>deberían suministrar la siguiente información</w:t>
      </w:r>
      <w:r w:rsidRPr="00442E21">
        <w:rPr>
          <w:rFonts w:ascii="Arial" w:hAnsi="Arial" w:cs="Arial"/>
          <w:sz w:val="18"/>
          <w:szCs w:val="18"/>
        </w:rPr>
        <w:t xml:space="preserve"> : “ a) Terminación o renovación del funcionamiento de un objeto espacial; b) Pérdida de funcionalidad del objeto espacial por fallos técnicos u otras razones; c) Pérdida de la capacidad de controlar el vuelo de un objeto espacial, riesgo simultáneo de interferencia radioeléctrica nociva en los radioenlaces de otros objetos espaciales en funcionamiento, y riesgo de conjunciones peligrosas con ellos; d) Separación (en caso previsto) de sub-satélites y elementos tecnológicos de los objetos espaciales; e) despliegue (en caso previsto) de elementos de construcción que modifiquen intencionalmente las propiedades de un objeto espacial que influyen en la duración de su vida orbital; f) Modificación intencional de los parámetros orbitales de un objeto espacial, de resultas de la cual el señalado objeto pasa a otra región del espacio cercano a la Tierra; g) El traslado de un objeto espacial a una órbita de eliminación o a una órbita en que se reduce su existencia como proyectil; h) El cambio de ubicación en la órbita geoestacionaria; i) El reposicionamiento (que no entrañe cambios importantes en los parámetros orbitales básicos) de un navío espacial que se desplace, como parte de una constelación de satélites, entre segmentos nominales correspondientes a la estructura orbital de esa constelación. En los casos en que un objeto espacial lanzado contenga otros objetos espaciales que se prevea separar y poner en órbita independientemente con posterioridad, los Estados y las organizaciones intergubernamentales internacionales deberían, al registrar el objeto espacial principal (en la fase de incorporación a su registro y al suministrar información de registro al Secretario general de la ONU) indicar por ejemplo, mediante anotaciones, el número y el nombre de los objetos espaciales que se proyecta separar del principal, en el entendimiento de que no se debería rebautizar esos objetos ni modificar su nombre en la fase de Registro posterior”.</w:t>
      </w:r>
    </w:p>
  </w:footnote>
  <w:footnote w:id="38">
    <w:p w:rsidR="008F486E" w:rsidRPr="00442E21" w:rsidRDefault="008F486E" w:rsidP="00B55F5E">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ANDRÉS SÁENZ DE SANTA MARÍA, P., </w:t>
      </w:r>
      <w:r w:rsidRPr="00442E21">
        <w:rPr>
          <w:rFonts w:ascii="Arial" w:hAnsi="Arial" w:cs="Arial"/>
          <w:i/>
          <w:sz w:val="18"/>
          <w:szCs w:val="18"/>
        </w:rPr>
        <w:t xml:space="preserve">Legislación básica en derecho internacional </w:t>
      </w:r>
      <w:r w:rsidRPr="00442E21">
        <w:rPr>
          <w:rFonts w:ascii="Arial" w:hAnsi="Arial" w:cs="Arial"/>
          <w:sz w:val="18"/>
          <w:szCs w:val="18"/>
        </w:rPr>
        <w:t>público, décimo tercera edición actualizada, 2013, pp. 608-617.</w:t>
      </w:r>
    </w:p>
  </w:footnote>
  <w:footnote w:id="39">
    <w:p w:rsidR="008F486E" w:rsidRPr="00442E21" w:rsidRDefault="008F486E" w:rsidP="00D313AC">
      <w:pPr>
        <w:pStyle w:val="Textonotapie"/>
        <w:jc w:val="both"/>
        <w:rPr>
          <w:rFonts w:ascii="Arial" w:hAnsi="Arial" w:cs="Arial"/>
          <w:sz w:val="18"/>
          <w:szCs w:val="18"/>
        </w:rPr>
      </w:pPr>
      <w:r w:rsidRPr="00AD0F70">
        <w:rPr>
          <w:rStyle w:val="Refdenotaalpie"/>
          <w:rFonts w:ascii="Times New Roman" w:hAnsi="Times New Roman" w:cs="Times New Roman"/>
          <w:sz w:val="18"/>
          <w:szCs w:val="18"/>
        </w:rPr>
        <w:footnoteRef/>
      </w:r>
      <w:r w:rsidRPr="00AD0F70">
        <w:rPr>
          <w:rFonts w:ascii="Times New Roman" w:hAnsi="Times New Roman" w:cs="Times New Roman"/>
          <w:sz w:val="18"/>
          <w:szCs w:val="18"/>
        </w:rPr>
        <w:t xml:space="preserve"> </w:t>
      </w:r>
      <w:r w:rsidRPr="00442E21">
        <w:rPr>
          <w:rFonts w:ascii="Arial" w:hAnsi="Arial" w:cs="Arial"/>
          <w:i/>
          <w:sz w:val="18"/>
          <w:szCs w:val="18"/>
        </w:rPr>
        <w:t>Doc. A/AC.105/738, Anexo III, Algunos aspectos relativos a la utilización de la órbita de los satélites geoestacionarios</w:t>
      </w:r>
      <w:r w:rsidRPr="00442E21">
        <w:rPr>
          <w:rFonts w:ascii="Arial" w:hAnsi="Arial" w:cs="Arial"/>
          <w:sz w:val="18"/>
          <w:szCs w:val="18"/>
        </w:rPr>
        <w:t>. Documento aprobado por la Subcomisión de Asuntos Jurídicos en su 39º período de sesiones.</w:t>
      </w:r>
    </w:p>
  </w:footnote>
  <w:footnote w:id="40">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i/>
          <w:sz w:val="18"/>
          <w:szCs w:val="18"/>
        </w:rPr>
        <w:t xml:space="preserve"> B.O.E</w:t>
      </w:r>
      <w:r w:rsidRPr="00442E21">
        <w:rPr>
          <w:rFonts w:ascii="Arial" w:hAnsi="Arial" w:cs="Arial"/>
          <w:sz w:val="18"/>
          <w:szCs w:val="18"/>
        </w:rPr>
        <w:t>. núm. 313, de 31 de diciembre de 1987.</w:t>
      </w:r>
    </w:p>
  </w:footnote>
  <w:footnote w:id="41">
    <w:p w:rsidR="008F486E" w:rsidRPr="00CE2CCE" w:rsidRDefault="008F486E" w:rsidP="00CE2CCE">
      <w:pPr>
        <w:pStyle w:val="Textonotapie"/>
        <w:rPr>
          <w:rFonts w:ascii="Times New Roman" w:hAnsi="Times New Roman" w:cs="Times New Roman"/>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http://portal.unesco.org/es/ev.php-URL_ID=13636&amp;URL_DO=DO_TOPIC&amp;URL_SECTION=201.html</w:t>
      </w:r>
    </w:p>
  </w:footnote>
  <w:footnote w:id="42">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76, de 29 de marzo de 1973 y B.O.E. núm.169, de 17 de julio de 2016.</w:t>
      </w:r>
    </w:p>
  </w:footnote>
  <w:footnote w:id="43">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153, de 24 de junio de 2010.</w:t>
      </w:r>
    </w:p>
  </w:footnote>
  <w:footnote w:id="44">
    <w:p w:rsidR="008F486E" w:rsidRPr="00442E21" w:rsidRDefault="008F486E" w:rsidP="00CD4911">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w:t>
      </w:r>
      <w:r w:rsidRPr="00442E21">
        <w:rPr>
          <w:rFonts w:ascii="Arial" w:hAnsi="Arial" w:cs="Arial"/>
          <w:i/>
          <w:sz w:val="18"/>
          <w:szCs w:val="18"/>
        </w:rPr>
        <w:t>. AGNU A/AC.195/1063</w:t>
      </w:r>
      <w:r w:rsidRPr="00442E21">
        <w:rPr>
          <w:rFonts w:ascii="Arial" w:hAnsi="Arial" w:cs="Arial"/>
          <w:sz w:val="18"/>
          <w:szCs w:val="18"/>
        </w:rPr>
        <w:t>, de 14 de abril de 2014. “En la aviación civil, el crecimiento de la industria del transporte espacial comercial, incluida la frecuencia cada vez mayor de los lanzamientos suborbitales, en los que la carga útil o un vehículo se lanzan en una trayectoria que penetra brevemente en el espacio, pero regresa a Tierra sin entrar en órbita, ha situado a los órganos reguladores de la aviación civil a la vanguardia de la concesión de licencias y la certificación de seguridad para los lanzamientos espaciales comerciales. Aunque la OACI no promulga normas internacionales ni prácticas recomendadas para esas actividades espaciales, la posibilidad de que vaya apareciendo un mercado de trasporte suborbital tierra-tierra ha hecho que aumentara el interés por un régimen regulatorio integrado de la aviación y espacio. En 2013, el Consejo de la OACI recibió información de la Industria sobre los avances en este sector. La OACI participa activamente en las labores de la Oficina de Asuntos del Espacio Ultraterrestre y otras entidades para definir y resolver los problemas jurídicos y técnicos relacionados con la integración de las operaciones del transporte aeroespacial comercial y la aviación tradicional y sus mecanismos de regulación respectivos”.</w:t>
      </w:r>
    </w:p>
  </w:footnote>
  <w:footnote w:id="45">
    <w:p w:rsidR="008F486E" w:rsidRPr="00442E21" w:rsidRDefault="008F486E">
      <w:pPr>
        <w:pStyle w:val="Textonotapie"/>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núm.5, de 6 de enero de 1999.</w:t>
      </w:r>
    </w:p>
  </w:footnote>
  <w:footnote w:id="46">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xml:space="preserve"> núm. 235, de 1 de octubre de 1985.</w:t>
      </w:r>
    </w:p>
  </w:footnote>
  <w:footnote w:id="47">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24, de 28 de enero de 2003.</w:t>
      </w:r>
    </w:p>
  </w:footnote>
  <w:footnote w:id="48">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225, de 19 de septiembre de 1986.</w:t>
      </w:r>
    </w:p>
  </w:footnote>
  <w:footnote w:id="49">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306, de 22 de diciembre de 2000.</w:t>
      </w:r>
    </w:p>
  </w:footnote>
  <w:footnote w:id="50">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12, de 13 de enero de 1981.</w:t>
      </w:r>
    </w:p>
  </w:footnote>
  <w:footnote w:id="51">
    <w:p w:rsidR="008F486E" w:rsidRPr="00442E21" w:rsidRDefault="008F486E" w:rsidP="001975B5">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xml:space="preserve"> núm. 124, de 25 de mayo de 1994.  En virtud de este Acuerdo, estos vehículos podrán, en caso de emergencia, sobrevolar, entrar y salir del espacio aéreo español y utilizar las pistas de vuelo y arrastre, así como las instalaciones que se autoricen de las bases de Morón de la Frontera, Rota, Zaragoza y en su caso,</w:t>
      </w:r>
      <w:r w:rsidRPr="00442E21">
        <w:rPr>
          <w:rFonts w:ascii="Arial" w:hAnsi="Arial" w:cs="Arial"/>
        </w:rPr>
        <w:t xml:space="preserve"> </w:t>
      </w:r>
      <w:r w:rsidRPr="00442E21">
        <w:rPr>
          <w:rFonts w:ascii="Arial" w:hAnsi="Arial" w:cs="Arial"/>
          <w:sz w:val="18"/>
          <w:szCs w:val="18"/>
        </w:rPr>
        <w:t xml:space="preserve">la base aérea de </w:t>
      </w:r>
      <w:proofErr w:type="spellStart"/>
      <w:r w:rsidRPr="00442E21">
        <w:rPr>
          <w:rFonts w:ascii="Arial" w:hAnsi="Arial" w:cs="Arial"/>
          <w:sz w:val="18"/>
          <w:szCs w:val="18"/>
        </w:rPr>
        <w:t>Gando</w:t>
      </w:r>
      <w:proofErr w:type="spellEnd"/>
      <w:r w:rsidRPr="00442E21">
        <w:rPr>
          <w:rFonts w:ascii="Arial" w:hAnsi="Arial" w:cs="Arial"/>
          <w:sz w:val="18"/>
          <w:szCs w:val="18"/>
        </w:rPr>
        <w:t xml:space="preserve"> (Las</w:t>
      </w:r>
      <w:r w:rsidRPr="00442E21">
        <w:rPr>
          <w:rFonts w:ascii="Arial" w:hAnsi="Arial" w:cs="Arial"/>
        </w:rPr>
        <w:t xml:space="preserve"> Palmas </w:t>
      </w:r>
      <w:r w:rsidRPr="00442E21">
        <w:rPr>
          <w:rFonts w:ascii="Arial" w:hAnsi="Arial" w:cs="Arial"/>
          <w:sz w:val="18"/>
          <w:szCs w:val="18"/>
        </w:rPr>
        <w:t>de Gran Canaria) correspondiendo al mando de la base la custodia exterior del vehículo espacial y su carga, admitiendo la colaboración del personal norteamericano en la protección del vehículo.</w:t>
      </w:r>
    </w:p>
  </w:footnote>
  <w:footnote w:id="52">
    <w:p w:rsidR="008F486E" w:rsidRPr="00442E21" w:rsidRDefault="008F486E">
      <w:pPr>
        <w:pStyle w:val="Textonotapie"/>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núm. 121, de 18 de mayo de 2010.</w:t>
      </w:r>
    </w:p>
  </w:footnote>
  <w:footnote w:id="53">
    <w:p w:rsidR="008F486E" w:rsidRPr="00442E21" w:rsidRDefault="008F486E" w:rsidP="00600174">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International Space Station Crew Code of Conduct, of 15 September 2000, en </w:t>
      </w:r>
      <w:hyperlink r:id="rId11" w:history="1">
        <w:r w:rsidRPr="00442E21">
          <w:rPr>
            <w:rStyle w:val="Hipervnculo"/>
            <w:rFonts w:ascii="Arial" w:hAnsi="Arial" w:cs="Arial"/>
            <w:i/>
            <w:color w:val="auto"/>
            <w:sz w:val="18"/>
            <w:szCs w:val="18"/>
            <w:u w:val="none"/>
            <w:lang w:val="en-US"/>
          </w:rPr>
          <w:t>http://www.hq.nasa.gov/officcecodei</w:t>
        </w:r>
      </w:hyperlink>
      <w:r w:rsidRPr="00442E21">
        <w:rPr>
          <w:rFonts w:ascii="Arial" w:hAnsi="Arial" w:cs="Arial"/>
          <w:sz w:val="18"/>
          <w:szCs w:val="18"/>
          <w:lang w:val="en-US"/>
        </w:rPr>
        <w:t xml:space="preserve"> </w:t>
      </w:r>
    </w:p>
  </w:footnote>
  <w:footnote w:id="54">
    <w:p w:rsidR="008F486E" w:rsidRPr="00442E21" w:rsidRDefault="008F486E" w:rsidP="00726CCC">
      <w:pPr>
        <w:pStyle w:val="Textonotapie"/>
        <w:jc w:val="both"/>
        <w:rPr>
          <w:rFonts w:ascii="Arial" w:hAnsi="Arial" w:cs="Arial"/>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Code of Conduct of Space Debris Mitigation en </w:t>
      </w:r>
      <w:r w:rsidRPr="00442E21">
        <w:rPr>
          <w:rFonts w:ascii="Arial" w:hAnsi="Arial" w:cs="Arial"/>
          <w:i/>
          <w:sz w:val="18"/>
          <w:szCs w:val="18"/>
          <w:lang w:val="en-US"/>
        </w:rPr>
        <w:t>http://www.unoosa.org/documents/pdf/spacelaw/sd/2004-B5-10.pdf</w:t>
      </w:r>
    </w:p>
  </w:footnote>
  <w:footnote w:id="55">
    <w:p w:rsidR="008F486E" w:rsidRPr="00442E21" w:rsidRDefault="008F486E" w:rsidP="00716944">
      <w:pPr>
        <w:pStyle w:val="Textonotapie"/>
        <w:jc w:val="both"/>
        <w:rPr>
          <w:rFonts w:ascii="Arial" w:hAnsi="Arial" w:cs="Arial"/>
          <w:i/>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Draft International Code of Conduct for Outer Space Activities, Version 31 march 2014, en </w:t>
      </w:r>
      <w:r w:rsidRPr="00442E21">
        <w:rPr>
          <w:rFonts w:ascii="Arial" w:hAnsi="Arial" w:cs="Arial"/>
          <w:i/>
          <w:sz w:val="18"/>
          <w:szCs w:val="18"/>
          <w:lang w:val="en-US"/>
        </w:rPr>
        <w:t>https://eeas.europa.eu/sites/eeas/files/space_code_conduct_draft_vers_31-march-2014_en.pdf</w:t>
      </w:r>
    </w:p>
  </w:footnote>
  <w:footnote w:id="56">
    <w:p w:rsidR="008F486E" w:rsidRPr="00442E21" w:rsidRDefault="008F486E" w:rsidP="00B015D7">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Véase DECISIÓN (PESC) 2015/203 del CONSEJO de 9 de febrero de 2015 en apoyo de la propuesta de la Unión para un Código internacional de conducta para las actividades en el espacio ultraterrestre como una contribución a las medidas de transparencia y de fomento de la confianza en las actividades en el espacio ultraterrestre, </w:t>
      </w:r>
      <w:r w:rsidRPr="00442E21">
        <w:rPr>
          <w:rFonts w:ascii="Arial" w:hAnsi="Arial" w:cs="Arial"/>
          <w:i/>
          <w:sz w:val="18"/>
          <w:szCs w:val="18"/>
        </w:rPr>
        <w:t>D.O.U.E</w:t>
      </w:r>
      <w:r w:rsidRPr="00442E21">
        <w:rPr>
          <w:rFonts w:ascii="Arial" w:hAnsi="Arial" w:cs="Arial"/>
          <w:sz w:val="18"/>
          <w:szCs w:val="18"/>
        </w:rPr>
        <w:t>. de 10 de febrero de 2015.  “La propuesta de la Unión para un proyecto de Código de conducta fue presentada formalmente a la comunidad internacional en Viena el 5 de junio de 2012. Posteriormente se inició un proceso de consultas abiertas sobre el proyecto de texto, con el objetivo de aumentar la transparencia y el carácter integrador del proceso. Se llevaron a cabo tres rondas de consultas, las dos últimas sobre versiones revisadas del Código de conducta: los días 16 y 17 de mayo de 2013 en Kiev, del 20 al 22 de noviembre de 2013 en Bangkok y, por último, los días 27 y 28 de mayo de 2014 en Luxemburgo. A cada una de estas reuniones asistieron participantes de más de 60 Estados e incluyeron en total a participantes de más de 80 Estados”.</w:t>
      </w:r>
    </w:p>
  </w:footnote>
  <w:footnote w:id="57">
    <w:p w:rsidR="008F486E" w:rsidRPr="00442E21" w:rsidRDefault="008F486E" w:rsidP="005305A9">
      <w:pPr>
        <w:pStyle w:val="Textonotapie"/>
        <w:jc w:val="both"/>
        <w:rPr>
          <w:rFonts w:ascii="Arial" w:hAnsi="Arial" w:cs="Arial"/>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Vid. RINNER, A., “Impact of International Code of Conduct for Outer Space Activities and EU Contribution to Collaborative Projects. Devising a New Approach for Space Law in Europe”, </w:t>
      </w:r>
      <w:r w:rsidRPr="00442E21">
        <w:rPr>
          <w:rFonts w:ascii="Arial" w:hAnsi="Arial" w:cs="Arial"/>
          <w:i/>
          <w:sz w:val="18"/>
          <w:szCs w:val="18"/>
          <w:lang w:val="en-US"/>
        </w:rPr>
        <w:t>Proceedings IISL</w:t>
      </w:r>
      <w:r w:rsidRPr="00442E21">
        <w:rPr>
          <w:rFonts w:ascii="Arial" w:hAnsi="Arial" w:cs="Arial"/>
          <w:sz w:val="18"/>
          <w:szCs w:val="18"/>
          <w:lang w:val="en-US"/>
        </w:rPr>
        <w:t>, 2015, pp. 699 y ss.</w:t>
      </w:r>
    </w:p>
  </w:footnote>
  <w:footnote w:id="58">
    <w:p w:rsidR="008F486E" w:rsidRPr="00442E21" w:rsidRDefault="008F486E" w:rsidP="00F830F4">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A/AC.105/C.1/L.260, de 29 de noviembre de 2002, COPUOS, Subcomisión de Asuntos Científicos y Técnicos, 40º período de sesiones, Viena, 17 a 28 de febrero de 2003, ANEXO .</w:t>
      </w:r>
      <w:r w:rsidRPr="00442E21">
        <w:rPr>
          <w:rFonts w:ascii="Arial" w:hAnsi="Arial" w:cs="Arial"/>
          <w:i/>
          <w:sz w:val="18"/>
          <w:szCs w:val="18"/>
        </w:rPr>
        <w:t>Directrices del Comité Interinstitucional de Coordinación en materia de Desechos Espaciales para la Reducción de los Desechos Espaciales</w:t>
      </w:r>
      <w:r w:rsidRPr="00442E21">
        <w:rPr>
          <w:rFonts w:ascii="Arial" w:hAnsi="Arial" w:cs="Arial"/>
          <w:sz w:val="18"/>
          <w:szCs w:val="18"/>
        </w:rPr>
        <w:t>.</w:t>
      </w:r>
    </w:p>
  </w:footnote>
  <w:footnote w:id="59">
    <w:p w:rsidR="008F486E" w:rsidRPr="00442E21" w:rsidRDefault="008F486E" w:rsidP="00F830F4">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A/AC.105/890, de 6 de marzo de 2007, COPUOS, 50º período de sesiones, Viena, 6 a 15 de junio de 2007, Informe de la Subcomisión de Asuntos Científicos y Técnicos sobre su 44 período de sesiones, celebrado en Viena del 12 al 23 de febrero de 2007, Anexo IV </w:t>
      </w:r>
      <w:r w:rsidRPr="00442E21">
        <w:rPr>
          <w:rFonts w:ascii="Arial" w:hAnsi="Arial" w:cs="Arial"/>
          <w:i/>
          <w:sz w:val="18"/>
          <w:szCs w:val="18"/>
        </w:rPr>
        <w:t>Directrices para la Reducción de los Desechos Espaciales elaboradas por la Subcomisión de Asuntos Científicos y Técnicos de la Comisión sobre Utilización Pacífica del Espacio Ultraterrestre con Fines Pacíficos.</w:t>
      </w:r>
    </w:p>
  </w:footnote>
  <w:footnote w:id="60">
    <w:p w:rsidR="008F486E" w:rsidRPr="00442E21" w:rsidRDefault="008F486E" w:rsidP="00B271E7">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Doc. AGNU A/AC.105/C.2/L.283, de 9 de marzo de 2011, COPUOS, Subcomisión de Asuntos Jurídicos, 50 periodo de sesiones, </w:t>
      </w:r>
      <w:r w:rsidRPr="00442E21">
        <w:rPr>
          <w:rFonts w:ascii="Arial" w:hAnsi="Arial" w:cs="Arial"/>
          <w:i/>
          <w:sz w:val="18"/>
          <w:szCs w:val="18"/>
        </w:rPr>
        <w:t>Examen de los aspectos jurídicos de las Directrices para la reducción de desechos espaciales de la Comisión sobre la Utilización del Espacio Ultraterrestre con Fines Pacíficos, a fin de transformar las Directrices en un conjunto de principios que habría de aprobar la Asamblea General.  Documento de trabajo presentado por la República Checa.</w:t>
      </w:r>
    </w:p>
  </w:footnote>
  <w:footnote w:id="61">
    <w:p w:rsidR="008F486E" w:rsidRPr="00442E21" w:rsidRDefault="008F486E" w:rsidP="00944D3B">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A/AC.105/C.1/L.354/Rev.1, de 18 de octubre de 2016, COPUOS, Subcomisión de Asuntos Científicos y Técnicos, 54º período de sesiones. Viena, 30 de enero a 10 de febrero de 2017 </w:t>
      </w:r>
      <w:r w:rsidRPr="00442E21">
        <w:rPr>
          <w:rFonts w:ascii="Arial" w:hAnsi="Arial" w:cs="Arial"/>
          <w:i/>
          <w:sz w:val="18"/>
          <w:szCs w:val="18"/>
        </w:rPr>
        <w:t>Directrices relativas a la sostenibilidad a largo plazo de las actividades en el espacio ultraterrestre.</w:t>
      </w:r>
    </w:p>
  </w:footnote>
  <w:footnote w:id="62">
    <w:p w:rsidR="008F486E" w:rsidRPr="00442E21" w:rsidRDefault="008F486E" w:rsidP="002E00A6">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A/RES/72/77, de 14 de diciembre de 2017, Resolución aprobada por la Asamblea General</w:t>
      </w:r>
    </w:p>
    <w:p w:rsidR="008F486E" w:rsidRPr="00442E21" w:rsidRDefault="008F486E" w:rsidP="002E00A6">
      <w:pPr>
        <w:pStyle w:val="Textonotapie"/>
        <w:jc w:val="both"/>
        <w:rPr>
          <w:rFonts w:ascii="Arial" w:hAnsi="Arial" w:cs="Arial"/>
          <w:sz w:val="18"/>
          <w:szCs w:val="18"/>
        </w:rPr>
      </w:pPr>
      <w:r w:rsidRPr="00442E21">
        <w:rPr>
          <w:rFonts w:ascii="Arial" w:hAnsi="Arial" w:cs="Arial"/>
          <w:sz w:val="18"/>
          <w:szCs w:val="18"/>
        </w:rPr>
        <w:t xml:space="preserve">el 7 de diciembre de 2017 </w:t>
      </w:r>
      <w:r w:rsidRPr="00442E21">
        <w:rPr>
          <w:rFonts w:ascii="Arial" w:hAnsi="Arial" w:cs="Arial"/>
          <w:i/>
          <w:sz w:val="18"/>
          <w:szCs w:val="18"/>
        </w:rPr>
        <w:t>Cooperación internacional para la utilización del espacio ultraterrestre con fines pacíficos</w:t>
      </w:r>
      <w:r w:rsidRPr="00442E21">
        <w:rPr>
          <w:rFonts w:ascii="Arial" w:hAnsi="Arial" w:cs="Arial"/>
          <w:sz w:val="18"/>
          <w:szCs w:val="18"/>
        </w:rPr>
        <w:t>.</w:t>
      </w:r>
    </w:p>
  </w:footnote>
  <w:footnote w:id="63">
    <w:p w:rsidR="008F486E" w:rsidRPr="00442E21" w:rsidRDefault="008F486E" w:rsidP="00AD6636">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Vid. COVERT, L., “Progress Toward an Asteroid Deflection Treaty, </w:t>
      </w:r>
      <w:r w:rsidRPr="00442E21">
        <w:rPr>
          <w:rFonts w:ascii="Arial" w:hAnsi="Arial" w:cs="Arial"/>
          <w:i/>
          <w:sz w:val="18"/>
          <w:szCs w:val="18"/>
          <w:lang w:val="en-US"/>
        </w:rPr>
        <w:t>Proceedings 48th CLOS</w:t>
      </w:r>
      <w:r w:rsidRPr="00442E21">
        <w:rPr>
          <w:rFonts w:ascii="Arial" w:hAnsi="Arial" w:cs="Arial"/>
          <w:sz w:val="18"/>
          <w:szCs w:val="18"/>
          <w:lang w:val="en-US"/>
        </w:rPr>
        <w:t xml:space="preserve">, Fukuoka (Japan) 2005, </w:t>
      </w:r>
      <w:proofErr w:type="gramStart"/>
      <w:r w:rsidRPr="00442E21">
        <w:rPr>
          <w:rFonts w:ascii="Arial" w:hAnsi="Arial" w:cs="Arial"/>
          <w:sz w:val="18"/>
          <w:szCs w:val="18"/>
          <w:lang w:val="en-US"/>
        </w:rPr>
        <w:t>pp</w:t>
      </w:r>
      <w:proofErr w:type="gramEnd"/>
      <w:r w:rsidRPr="00442E21">
        <w:rPr>
          <w:rFonts w:ascii="Arial" w:hAnsi="Arial" w:cs="Arial"/>
          <w:sz w:val="18"/>
          <w:szCs w:val="18"/>
          <w:lang w:val="en-US"/>
        </w:rPr>
        <w:t>. 364 a 370.</w:t>
      </w:r>
    </w:p>
  </w:footnote>
  <w:footnote w:id="64">
    <w:p w:rsidR="008F486E" w:rsidRPr="00442E21" w:rsidRDefault="008F486E" w:rsidP="002E00A6">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A/AC.105/C.1/L.329, de 21 de diciembre de 2012, COPUOS, Subcomisión de Asuntos Científicos y Técnicos, 50º período de sesiones, </w:t>
      </w:r>
      <w:r w:rsidRPr="00442E21">
        <w:rPr>
          <w:rFonts w:ascii="Arial" w:hAnsi="Arial" w:cs="Arial"/>
          <w:i/>
          <w:sz w:val="18"/>
          <w:szCs w:val="18"/>
        </w:rPr>
        <w:t>Objetos Cercanos a la Tierra, 2011-2012* Recomendaciones del Equipo de Acción sobre objetos cercanos a la Tierra para una respuesta internacional a la amenaza de impacto que plantean los objetos cercanos a la Tierra.</w:t>
      </w:r>
    </w:p>
  </w:footnote>
  <w:footnote w:id="65">
    <w:p w:rsidR="008F486E" w:rsidRPr="00442E21" w:rsidRDefault="008F486E" w:rsidP="003140A9">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i/>
          <w:sz w:val="18"/>
          <w:szCs w:val="18"/>
        </w:rPr>
        <w:t>DOUE</w:t>
      </w:r>
      <w:r w:rsidRPr="00442E21">
        <w:rPr>
          <w:rFonts w:ascii="Arial" w:hAnsi="Arial" w:cs="Arial"/>
          <w:sz w:val="18"/>
          <w:szCs w:val="18"/>
        </w:rPr>
        <w:t xml:space="preserve"> 347, de 20 de diciembre de 2013, Reglamento (UE) nº 1291/2013 del Parlamento Europeo y del Consejo, de 11 de diciembre de 2013, por el que se establece Horizonte 2020, Programa Marco de Investigación e Innovación (2014-2020 y por el que se deroga la Decisión nº 1982/2006/CE  “El objetivo general de Horizonte 2020 contribuirá a la construcción de una sociedad y una economía basadas en el conocimiento y la innovación en toda la Unión movilizando una financiación adicional de la investigación, el desarrollo y la innovación, y contribuyendo al logro de los objetivos de investigación y desarrollo, entre ellos el objetivo de destinar un 3 % del PIB a la investigación y el desarrollo en toda la Unión de 2014 a 2020. De esta manera, respaldará la aplicación de la estrategia Europa 2020 y otras políticas de la Unión, así como la realización y el funcionamiento del Espacio Europeo de Investigación (EEI). El objetivo general se perseguirá a través de tres prioridades que se refuerzan mutuamente y estarán dedicadas a la ciencia excelente, el liderazgo industrial y los retos a la sociedad”.</w:t>
      </w:r>
    </w:p>
  </w:footnote>
  <w:footnote w:id="66">
    <w:p w:rsidR="008F486E" w:rsidRPr="00442E21" w:rsidRDefault="008F486E" w:rsidP="00D06600">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DOUE</w:t>
      </w:r>
      <w:r w:rsidRPr="00442E21">
        <w:rPr>
          <w:rFonts w:ascii="Arial" w:hAnsi="Arial" w:cs="Arial"/>
          <w:sz w:val="18"/>
          <w:szCs w:val="18"/>
        </w:rPr>
        <w:t xml:space="preserve"> L 158, de 27 de mayo de 2014, Decisión Nº 541/2014/UE del Parlamento Europeo y del Consejo, de 16 de abril de 2014, por la que se establece un marco de apoyo a la vigilancia y seguimiento espacial.</w:t>
      </w:r>
      <w:r w:rsidRPr="00442E21">
        <w:rPr>
          <w:rFonts w:ascii="Arial" w:hAnsi="Arial" w:cs="Arial"/>
        </w:rPr>
        <w:t xml:space="preserve"> “Puesto que los </w:t>
      </w:r>
      <w:r w:rsidRPr="00442E21">
        <w:rPr>
          <w:rFonts w:ascii="Arial" w:hAnsi="Arial" w:cs="Arial"/>
          <w:sz w:val="18"/>
          <w:szCs w:val="18"/>
        </w:rPr>
        <w:t>objetivos de la presente Decisión como el apoyo de las acciones destinadas al establecimiento y la gestión de la red de sensores, el establecimiento de la capacidad para procesar y analizar los datos de VSE y el establecimiento y la gestión de los servicios de VSE, no pueden alcanzarse de manera suficiente por los Estados miembros por sí solos, la prestación de dichos servicios por un consorcio de Estados miembros participantes sería beneficiosa para la Unión. …Por consiguiente, la Unión puede adoptar medidas, con arreglo al principio de subsidiariedad establecido en el artículo 5 del Tratado de la Unión Europea”.</w:t>
      </w:r>
    </w:p>
  </w:footnote>
  <w:footnote w:id="67">
    <w:p w:rsidR="008F486E" w:rsidRPr="00442E21" w:rsidRDefault="008F486E" w:rsidP="008C4BC2">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proofErr w:type="gramStart"/>
      <w:r w:rsidRPr="00442E21">
        <w:rPr>
          <w:rFonts w:ascii="Arial" w:hAnsi="Arial" w:cs="Arial"/>
          <w:sz w:val="18"/>
          <w:szCs w:val="18"/>
          <w:lang w:val="en-US"/>
        </w:rPr>
        <w:t>HOFFMAN, M., “COSPAR Recommendations in a New Context?</w:t>
      </w:r>
      <w:proofErr w:type="gramEnd"/>
      <w:r w:rsidRPr="00442E21">
        <w:rPr>
          <w:rFonts w:ascii="Arial" w:hAnsi="Arial" w:cs="Arial"/>
          <w:sz w:val="18"/>
          <w:szCs w:val="18"/>
          <w:lang w:val="en-US"/>
        </w:rPr>
        <w:t xml:space="preserve"> </w:t>
      </w:r>
      <w:proofErr w:type="gramStart"/>
      <w:r w:rsidRPr="00442E21">
        <w:rPr>
          <w:rFonts w:ascii="Arial" w:hAnsi="Arial" w:cs="Arial"/>
          <w:sz w:val="18"/>
          <w:szCs w:val="18"/>
          <w:lang w:val="en-US"/>
        </w:rPr>
        <w:t xml:space="preserve">Environmental Aspects of Space Mining”, </w:t>
      </w:r>
      <w:r w:rsidRPr="00442E21">
        <w:rPr>
          <w:rFonts w:ascii="Arial" w:hAnsi="Arial" w:cs="Arial"/>
          <w:i/>
          <w:sz w:val="18"/>
          <w:szCs w:val="18"/>
          <w:lang w:val="en-US"/>
        </w:rPr>
        <w:t>Proceedings IISL</w:t>
      </w:r>
      <w:r w:rsidRPr="00442E21">
        <w:rPr>
          <w:rFonts w:ascii="Arial" w:hAnsi="Arial" w:cs="Arial"/>
          <w:sz w:val="18"/>
          <w:szCs w:val="18"/>
          <w:lang w:val="en-US"/>
        </w:rPr>
        <w:t>, 2016, pp. 201 y ss.</w:t>
      </w:r>
      <w:proofErr w:type="gramEnd"/>
    </w:p>
  </w:footnote>
  <w:footnote w:id="68">
    <w:p w:rsidR="008F486E" w:rsidRPr="00442E21" w:rsidRDefault="008F486E" w:rsidP="00AB78C6">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proofErr w:type="gramStart"/>
      <w:r w:rsidRPr="00442E21">
        <w:rPr>
          <w:rFonts w:ascii="Arial" w:hAnsi="Arial" w:cs="Arial"/>
          <w:sz w:val="18"/>
          <w:szCs w:val="18"/>
          <w:lang w:val="en-US"/>
        </w:rPr>
        <w:t>US.</w:t>
      </w:r>
      <w:proofErr w:type="gramEnd"/>
      <w:r w:rsidRPr="00442E21">
        <w:rPr>
          <w:rFonts w:ascii="Arial" w:hAnsi="Arial" w:cs="Arial"/>
          <w:sz w:val="18"/>
          <w:szCs w:val="18"/>
          <w:lang w:val="en-US"/>
        </w:rPr>
        <w:t xml:space="preserve"> Commercial Space Launch </w:t>
      </w:r>
      <w:proofErr w:type="spellStart"/>
      <w:r w:rsidRPr="00442E21">
        <w:rPr>
          <w:rFonts w:ascii="Arial" w:hAnsi="Arial" w:cs="Arial"/>
          <w:sz w:val="18"/>
          <w:szCs w:val="18"/>
          <w:lang w:val="en-US"/>
        </w:rPr>
        <w:t>Competitiviness</w:t>
      </w:r>
      <w:proofErr w:type="spellEnd"/>
      <w:r w:rsidRPr="00442E21">
        <w:rPr>
          <w:rFonts w:ascii="Arial" w:hAnsi="Arial" w:cs="Arial"/>
          <w:sz w:val="18"/>
          <w:szCs w:val="18"/>
          <w:lang w:val="en-US"/>
        </w:rPr>
        <w:t xml:space="preserve"> Act (H.R. 2262). 114 Congress (2015-2016). Public Law 114-90 Nov, 25, 2015, en </w:t>
      </w:r>
      <w:r w:rsidRPr="00442E21">
        <w:rPr>
          <w:rFonts w:ascii="Arial" w:hAnsi="Arial" w:cs="Arial"/>
          <w:i/>
          <w:sz w:val="18"/>
          <w:szCs w:val="18"/>
          <w:lang w:val="en-US"/>
        </w:rPr>
        <w:t>https://www.congress.gov/114/plaws/publ90/PLAW-114publ90.pdf</w:t>
      </w:r>
    </w:p>
  </w:footnote>
  <w:footnote w:id="69">
    <w:p w:rsidR="008F486E" w:rsidRPr="00442E21" w:rsidRDefault="008F486E" w:rsidP="00AB78C6">
      <w:pPr>
        <w:pStyle w:val="Textonotapie"/>
        <w:jc w:val="both"/>
        <w:rPr>
          <w:rFonts w:ascii="Arial" w:hAnsi="Arial" w:cs="Arial"/>
          <w:i/>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Journal </w:t>
      </w:r>
      <w:proofErr w:type="spellStart"/>
      <w:r w:rsidRPr="00442E21">
        <w:rPr>
          <w:rFonts w:ascii="Arial" w:hAnsi="Arial" w:cs="Arial"/>
          <w:sz w:val="18"/>
          <w:szCs w:val="18"/>
          <w:lang w:val="en-US"/>
        </w:rPr>
        <w:t>Officiel</w:t>
      </w:r>
      <w:proofErr w:type="spellEnd"/>
      <w:r w:rsidRPr="00442E21">
        <w:rPr>
          <w:rFonts w:ascii="Arial" w:hAnsi="Arial" w:cs="Arial"/>
          <w:sz w:val="18"/>
          <w:szCs w:val="18"/>
          <w:lang w:val="en-US"/>
        </w:rPr>
        <w:t xml:space="preserve"> du Grand-</w:t>
      </w:r>
      <w:proofErr w:type="spellStart"/>
      <w:r w:rsidRPr="00442E21">
        <w:rPr>
          <w:rFonts w:ascii="Arial" w:hAnsi="Arial" w:cs="Arial"/>
          <w:sz w:val="18"/>
          <w:szCs w:val="18"/>
          <w:lang w:val="en-US"/>
        </w:rPr>
        <w:t>Duché</w:t>
      </w:r>
      <w:proofErr w:type="spellEnd"/>
      <w:r w:rsidRPr="00442E21">
        <w:rPr>
          <w:rFonts w:ascii="Arial" w:hAnsi="Arial" w:cs="Arial"/>
          <w:sz w:val="18"/>
          <w:szCs w:val="18"/>
          <w:lang w:val="en-US"/>
        </w:rPr>
        <w:t xml:space="preserve"> de Luxembourg , N° 674 du 28 </w:t>
      </w:r>
      <w:proofErr w:type="spellStart"/>
      <w:r w:rsidRPr="00442E21">
        <w:rPr>
          <w:rFonts w:ascii="Arial" w:hAnsi="Arial" w:cs="Arial"/>
          <w:sz w:val="18"/>
          <w:szCs w:val="18"/>
          <w:lang w:val="en-US"/>
        </w:rPr>
        <w:t>juillet</w:t>
      </w:r>
      <w:proofErr w:type="spellEnd"/>
      <w:r w:rsidRPr="00442E21">
        <w:rPr>
          <w:rFonts w:ascii="Arial" w:hAnsi="Arial" w:cs="Arial"/>
          <w:sz w:val="18"/>
          <w:szCs w:val="18"/>
          <w:lang w:val="en-US"/>
        </w:rPr>
        <w:t xml:space="preserve"> 2017,   </w:t>
      </w:r>
      <w:proofErr w:type="spellStart"/>
      <w:r w:rsidRPr="00442E21">
        <w:rPr>
          <w:rFonts w:ascii="Arial" w:hAnsi="Arial" w:cs="Arial"/>
          <w:sz w:val="18"/>
          <w:szCs w:val="18"/>
          <w:lang w:val="en-US"/>
        </w:rPr>
        <w:t>Loi</w:t>
      </w:r>
      <w:proofErr w:type="spellEnd"/>
      <w:r w:rsidRPr="00442E21">
        <w:rPr>
          <w:rFonts w:ascii="Arial" w:hAnsi="Arial" w:cs="Arial"/>
          <w:sz w:val="18"/>
          <w:szCs w:val="18"/>
          <w:lang w:val="en-US"/>
        </w:rPr>
        <w:t xml:space="preserve"> du 20 </w:t>
      </w:r>
      <w:proofErr w:type="spellStart"/>
      <w:r w:rsidRPr="00442E21">
        <w:rPr>
          <w:rFonts w:ascii="Arial" w:hAnsi="Arial" w:cs="Arial"/>
          <w:sz w:val="18"/>
          <w:szCs w:val="18"/>
          <w:lang w:val="en-US"/>
        </w:rPr>
        <w:t>juillet</w:t>
      </w:r>
      <w:proofErr w:type="spellEnd"/>
      <w:r w:rsidRPr="00442E21">
        <w:rPr>
          <w:rFonts w:ascii="Arial" w:hAnsi="Arial" w:cs="Arial"/>
          <w:sz w:val="18"/>
          <w:szCs w:val="18"/>
          <w:lang w:val="en-US"/>
        </w:rPr>
        <w:t xml:space="preserve"> 2017 </w:t>
      </w:r>
      <w:proofErr w:type="spellStart"/>
      <w:r w:rsidRPr="00442E21">
        <w:rPr>
          <w:rFonts w:ascii="Arial" w:hAnsi="Arial" w:cs="Arial"/>
          <w:sz w:val="18"/>
          <w:szCs w:val="18"/>
          <w:lang w:val="en-US"/>
        </w:rPr>
        <w:t>sur</w:t>
      </w:r>
      <w:proofErr w:type="spellEnd"/>
      <w:r w:rsidRPr="00442E21">
        <w:rPr>
          <w:rFonts w:ascii="Arial" w:hAnsi="Arial" w:cs="Arial"/>
          <w:sz w:val="18"/>
          <w:szCs w:val="18"/>
          <w:lang w:val="en-US"/>
        </w:rPr>
        <w:t xml:space="preserve"> </w:t>
      </w:r>
      <w:proofErr w:type="spellStart"/>
      <w:r w:rsidRPr="00442E21">
        <w:rPr>
          <w:rFonts w:ascii="Arial" w:hAnsi="Arial" w:cs="Arial"/>
          <w:sz w:val="18"/>
          <w:szCs w:val="18"/>
          <w:lang w:val="en-US"/>
        </w:rPr>
        <w:t>l’exploration</w:t>
      </w:r>
      <w:proofErr w:type="spellEnd"/>
      <w:r w:rsidRPr="00442E21">
        <w:rPr>
          <w:rFonts w:ascii="Arial" w:hAnsi="Arial" w:cs="Arial"/>
          <w:sz w:val="18"/>
          <w:szCs w:val="18"/>
          <w:lang w:val="en-US"/>
        </w:rPr>
        <w:t xml:space="preserve"> et </w:t>
      </w:r>
      <w:proofErr w:type="spellStart"/>
      <w:r w:rsidRPr="00442E21">
        <w:rPr>
          <w:rFonts w:ascii="Arial" w:hAnsi="Arial" w:cs="Arial"/>
          <w:sz w:val="18"/>
          <w:szCs w:val="18"/>
          <w:lang w:val="en-US"/>
        </w:rPr>
        <w:t>l’utilisation</w:t>
      </w:r>
      <w:proofErr w:type="spellEnd"/>
      <w:r w:rsidRPr="00442E21">
        <w:rPr>
          <w:rFonts w:ascii="Arial" w:hAnsi="Arial" w:cs="Arial"/>
          <w:sz w:val="18"/>
          <w:szCs w:val="18"/>
          <w:lang w:val="en-US"/>
        </w:rPr>
        <w:t xml:space="preserve"> des </w:t>
      </w:r>
      <w:proofErr w:type="spellStart"/>
      <w:r w:rsidRPr="00442E21">
        <w:rPr>
          <w:rFonts w:ascii="Arial" w:hAnsi="Arial" w:cs="Arial"/>
          <w:sz w:val="18"/>
          <w:szCs w:val="18"/>
          <w:lang w:val="en-US"/>
        </w:rPr>
        <w:t>ressources</w:t>
      </w:r>
      <w:proofErr w:type="spellEnd"/>
      <w:r w:rsidRPr="00442E21">
        <w:rPr>
          <w:rFonts w:ascii="Arial" w:hAnsi="Arial" w:cs="Arial"/>
          <w:sz w:val="18"/>
          <w:szCs w:val="18"/>
          <w:lang w:val="en-US"/>
        </w:rPr>
        <w:t xml:space="preserve"> de </w:t>
      </w:r>
      <w:proofErr w:type="spellStart"/>
      <w:r w:rsidRPr="00442E21">
        <w:rPr>
          <w:rFonts w:ascii="Arial" w:hAnsi="Arial" w:cs="Arial"/>
          <w:sz w:val="18"/>
          <w:szCs w:val="18"/>
          <w:lang w:val="en-US"/>
        </w:rPr>
        <w:t>l’espace</w:t>
      </w:r>
      <w:proofErr w:type="spellEnd"/>
      <w:r w:rsidRPr="00442E21">
        <w:rPr>
          <w:rFonts w:ascii="Arial" w:hAnsi="Arial" w:cs="Arial"/>
          <w:sz w:val="18"/>
          <w:szCs w:val="18"/>
          <w:lang w:val="en-US"/>
        </w:rPr>
        <w:t xml:space="preserve">, en </w:t>
      </w:r>
      <w:hyperlink r:id="rId12" w:history="1">
        <w:r w:rsidRPr="00442E21">
          <w:rPr>
            <w:rStyle w:val="Hipervnculo"/>
            <w:rFonts w:ascii="Arial" w:hAnsi="Arial" w:cs="Arial"/>
            <w:i/>
            <w:color w:val="auto"/>
            <w:sz w:val="18"/>
            <w:szCs w:val="18"/>
            <w:u w:val="none"/>
            <w:lang w:val="en-US"/>
          </w:rPr>
          <w:t>http://data.legilux.public.lu/file/eli-etat-leg-loi-2017-07-20-a674-jo-fr-pdf.pdf</w:t>
        </w:r>
      </w:hyperlink>
      <w:r w:rsidRPr="00442E21">
        <w:rPr>
          <w:rFonts w:ascii="Arial" w:hAnsi="Arial" w:cs="Arial"/>
          <w:i/>
          <w:sz w:val="18"/>
          <w:szCs w:val="18"/>
          <w:lang w:val="en-US"/>
        </w:rPr>
        <w:t xml:space="preserve"> </w:t>
      </w:r>
    </w:p>
  </w:footnote>
  <w:footnote w:id="70">
    <w:p w:rsidR="008F486E" w:rsidRPr="00442E21" w:rsidRDefault="008F486E" w:rsidP="00AB78C6">
      <w:pPr>
        <w:pStyle w:val="Textonotapie"/>
        <w:jc w:val="both"/>
        <w:rPr>
          <w:rFonts w:ascii="Arial" w:hAnsi="Arial" w:cs="Arial"/>
          <w:i/>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The Hague Space Resources Governance Working Group, en </w:t>
      </w:r>
      <w:r w:rsidRPr="00442E21">
        <w:rPr>
          <w:rFonts w:ascii="Arial" w:hAnsi="Arial" w:cs="Arial"/>
          <w:i/>
          <w:sz w:val="18"/>
          <w:szCs w:val="18"/>
          <w:lang w:val="en-US"/>
        </w:rPr>
        <w:t>http://law.leiden.edu/organisation/publiclaw/iiasl/working-group/the-hague-space-resources-governance-working-group.html</w:t>
      </w:r>
    </w:p>
  </w:footnote>
  <w:footnote w:id="71">
    <w:p w:rsidR="008F486E" w:rsidRPr="00442E21" w:rsidRDefault="008F486E" w:rsidP="00961FE3">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Como apunta el Prof. Jesús Martínez Frías (Jefe del Grupo de Investigación de Meteoritos y </w:t>
      </w:r>
      <w:proofErr w:type="spellStart"/>
      <w:r w:rsidRPr="00442E21">
        <w:rPr>
          <w:rFonts w:ascii="Arial" w:hAnsi="Arial" w:cs="Arial"/>
          <w:sz w:val="18"/>
          <w:szCs w:val="18"/>
        </w:rPr>
        <w:t>Geociencias</w:t>
      </w:r>
      <w:proofErr w:type="spellEnd"/>
      <w:r w:rsidRPr="00442E21">
        <w:rPr>
          <w:rFonts w:ascii="Arial" w:hAnsi="Arial" w:cs="Arial"/>
          <w:sz w:val="18"/>
          <w:szCs w:val="18"/>
        </w:rPr>
        <w:t xml:space="preserve"> Planetarias del CSIC en el IGEO), los recursos espaciales son el motor del progreso científico y tecnológico que constituye un factor clave para el desarrollo de la humanidad tanto dentro como fuera de nuestro planeta. En la actualidad existen varios proyectos de exploración de asteroides, ya que éstos se encuentran materiales de alto valor como los volátiles y el agua, los metales industriales, con el fin de construir y mantener plataformas espaciales, y el platino y otros metales muy demandados. En lo que se refiere a la Luna, la asociación del helio con el titanio en el regolito lunar, nos ayuda a conocer cuáles son las principales zonas para llevar a cabo actividades de minería en</w:t>
      </w:r>
      <w:r w:rsidRPr="00442E21">
        <w:rPr>
          <w:rFonts w:ascii="Arial" w:hAnsi="Arial" w:cs="Arial"/>
        </w:rPr>
        <w:t xml:space="preserve"> nuestro satélite natural. La </w:t>
      </w:r>
      <w:r w:rsidRPr="00442E21">
        <w:rPr>
          <w:rFonts w:ascii="Arial" w:hAnsi="Arial" w:cs="Arial"/>
          <w:sz w:val="18"/>
          <w:szCs w:val="18"/>
        </w:rPr>
        <w:t xml:space="preserve">variedad de elementos volátiles conlleva multitud de aplicaciones que facilitarían el establecimiento de una base en la Luna. Respecto a Marte, este planeta muestra una rica </w:t>
      </w:r>
      <w:proofErr w:type="spellStart"/>
      <w:r w:rsidRPr="00442E21">
        <w:rPr>
          <w:rFonts w:ascii="Arial" w:hAnsi="Arial" w:cs="Arial"/>
          <w:sz w:val="18"/>
          <w:szCs w:val="18"/>
        </w:rPr>
        <w:t>geodiversidad</w:t>
      </w:r>
      <w:proofErr w:type="spellEnd"/>
      <w:r w:rsidRPr="00442E21">
        <w:rPr>
          <w:rFonts w:ascii="Arial" w:hAnsi="Arial" w:cs="Arial"/>
          <w:sz w:val="18"/>
          <w:szCs w:val="18"/>
        </w:rPr>
        <w:t xml:space="preserve"> con un complejo conjunto de regiones y afloramientos que verifican la existencia de interacciones a lo largo del tiempo, de distintos procesos geoquímicos, algunos de ellos, relacionados con el agua, lo que abre la posibilidad de encontrar recursos minerales importantes en algunas zonas. A ello hay que sumar el concepto de </w:t>
      </w:r>
      <w:proofErr w:type="spellStart"/>
      <w:r w:rsidRPr="00442E21">
        <w:rPr>
          <w:rFonts w:ascii="Arial" w:hAnsi="Arial" w:cs="Arial"/>
          <w:sz w:val="18"/>
          <w:szCs w:val="18"/>
        </w:rPr>
        <w:t>geoética</w:t>
      </w:r>
      <w:proofErr w:type="spellEnd"/>
      <w:r w:rsidRPr="00442E21">
        <w:rPr>
          <w:rFonts w:ascii="Arial" w:hAnsi="Arial" w:cs="Arial"/>
          <w:sz w:val="18"/>
          <w:szCs w:val="18"/>
        </w:rPr>
        <w:t xml:space="preserve"> y de lo que de ello se deriva.</w:t>
      </w:r>
    </w:p>
  </w:footnote>
  <w:footnote w:id="72">
    <w:p w:rsidR="008F486E" w:rsidRPr="00442E21" w:rsidRDefault="008F486E" w:rsidP="00CF38D2">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A/AC.105/1138, de 21 de febrero de 2017, COPUOS, 60º periodo de sesiones, </w:t>
      </w:r>
      <w:r w:rsidRPr="00442E21">
        <w:rPr>
          <w:rFonts w:ascii="Arial" w:hAnsi="Arial" w:cs="Arial"/>
          <w:i/>
          <w:sz w:val="18"/>
          <w:szCs w:val="18"/>
        </w:rPr>
        <w:t>Informe de la Subcomisión de Asuntos Científicos y Técnicos sobre su 54º período de sesiones, celebrado en Viena del 30 de enero al 10 de febrero de 2017</w:t>
      </w:r>
      <w:r w:rsidRPr="00442E21">
        <w:rPr>
          <w:rFonts w:ascii="Arial" w:hAnsi="Arial" w:cs="Arial"/>
          <w:sz w:val="18"/>
          <w:szCs w:val="18"/>
        </w:rPr>
        <w:t xml:space="preserve">. Véase además, Doc. Consejo Económico y Social de las Naciones Unidas E/2017/L.29–E/HLPF/2017/L.2, de 14 de octubre de 2017, Declaración ministerial de la serie de sesiones de alto nivel del período de sesiones de 2017 del Consejo Económico y Social sobre el tema anual </w:t>
      </w:r>
      <w:r w:rsidRPr="00442E21">
        <w:rPr>
          <w:rFonts w:ascii="Arial" w:hAnsi="Arial" w:cs="Arial"/>
          <w:i/>
          <w:sz w:val="18"/>
          <w:szCs w:val="18"/>
        </w:rPr>
        <w:t>Erradicar la pobreza en todas sus formas y dimensiones mediante la promoción del desarrollo sostenible, la ampliación de las oportunidades y la respuesta a los desafíos conexos</w:t>
      </w:r>
      <w:r w:rsidRPr="00442E21">
        <w:rPr>
          <w:rFonts w:ascii="Arial" w:hAnsi="Arial" w:cs="Arial"/>
          <w:sz w:val="18"/>
          <w:szCs w:val="18"/>
        </w:rPr>
        <w:t>.</w:t>
      </w:r>
    </w:p>
  </w:footnote>
  <w:footnote w:id="73">
    <w:p w:rsidR="008F486E" w:rsidRPr="00442E21" w:rsidRDefault="008F486E">
      <w:pPr>
        <w:pStyle w:val="Textonotapie"/>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DOUE</w:t>
      </w:r>
      <w:r w:rsidRPr="00442E21">
        <w:rPr>
          <w:rFonts w:ascii="Arial" w:hAnsi="Arial" w:cs="Arial"/>
          <w:sz w:val="18"/>
          <w:szCs w:val="18"/>
        </w:rPr>
        <w:t xml:space="preserve"> L 261, de 6 de agosto de 2004.</w:t>
      </w:r>
    </w:p>
  </w:footnote>
  <w:footnote w:id="74">
    <w:p w:rsidR="008F486E" w:rsidRPr="00442E21" w:rsidRDefault="008F486E" w:rsidP="00961FE3">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En la aplicación del componente de servicio de </w:t>
      </w:r>
      <w:proofErr w:type="spellStart"/>
      <w:r w:rsidRPr="00442E21">
        <w:rPr>
          <w:rFonts w:ascii="Arial" w:hAnsi="Arial" w:cs="Arial"/>
          <w:sz w:val="18"/>
          <w:szCs w:val="18"/>
        </w:rPr>
        <w:t>Copernicus</w:t>
      </w:r>
      <w:proofErr w:type="spellEnd"/>
      <w:r w:rsidRPr="00442E21">
        <w:rPr>
          <w:rFonts w:ascii="Arial" w:hAnsi="Arial" w:cs="Arial"/>
          <w:sz w:val="18"/>
          <w:szCs w:val="18"/>
        </w:rPr>
        <w:t>, la Comisión debe poder recurrir, cuando esté debidamente justificado por la especial naturaleza de la acción y los conocimientos técnicos específicos, a entidades competentes de la Unión, como la Agencia Europea de Medio Ambiente, la Agencia Europea para la Gestión de la Cooperación Operativa en las Fronteras Exteriores de los Estados miembros de la Unión Europea (</w:t>
      </w:r>
      <w:proofErr w:type="spellStart"/>
      <w:r w:rsidRPr="00442E21">
        <w:rPr>
          <w:rFonts w:ascii="Arial" w:hAnsi="Arial" w:cs="Arial"/>
          <w:sz w:val="18"/>
          <w:szCs w:val="18"/>
        </w:rPr>
        <w:t>Frontex</w:t>
      </w:r>
      <w:proofErr w:type="spellEnd"/>
      <w:r w:rsidRPr="00442E21">
        <w:rPr>
          <w:rFonts w:ascii="Arial" w:hAnsi="Arial" w:cs="Arial"/>
          <w:sz w:val="18"/>
          <w:szCs w:val="18"/>
        </w:rPr>
        <w:t>), la Agencia Europea de Seguridad Marítima (EMSA) y el Centro de Satélites de la Unión Europea (SATCEN), el Centro Europeo de Previsiones Meteorológicas a Medio Plazo (CEPMMP), otras agencias europeas, agrupaciones o consorcios de organismos nacionales pertinentes</w:t>
      </w:r>
    </w:p>
  </w:footnote>
  <w:footnote w:id="75">
    <w:p w:rsidR="008F486E" w:rsidRPr="00442E21" w:rsidRDefault="008F486E" w:rsidP="004D39C7">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i/>
          <w:sz w:val="18"/>
          <w:szCs w:val="18"/>
        </w:rPr>
        <w:t xml:space="preserve"> DOUE</w:t>
      </w:r>
      <w:r w:rsidRPr="00442E21">
        <w:rPr>
          <w:rFonts w:ascii="Arial" w:hAnsi="Arial" w:cs="Arial"/>
          <w:sz w:val="18"/>
          <w:szCs w:val="18"/>
        </w:rPr>
        <w:t xml:space="preserve">, L 122, de 24 de abril de 2014, Reglamento (UE) Nº 377/2014 del Parlamento Europeo y del Consejo de 3 de abril de 2014 por el que se establece el Programa </w:t>
      </w:r>
      <w:proofErr w:type="spellStart"/>
      <w:r w:rsidRPr="00442E21">
        <w:rPr>
          <w:rFonts w:ascii="Arial" w:hAnsi="Arial" w:cs="Arial"/>
          <w:sz w:val="18"/>
          <w:szCs w:val="18"/>
        </w:rPr>
        <w:t>Copernicus</w:t>
      </w:r>
      <w:proofErr w:type="spellEnd"/>
      <w:r w:rsidRPr="00442E21">
        <w:rPr>
          <w:rFonts w:ascii="Arial" w:hAnsi="Arial" w:cs="Arial"/>
          <w:sz w:val="18"/>
          <w:szCs w:val="18"/>
        </w:rPr>
        <w:t xml:space="preserve"> y se deroga el Reglamento (UE) Nº 911/2010. “El programa «Vigilancia Mundial del Medio Ambiente y la Seguridad» (GMES) era una iniciativa de la Unión Europea para la vigilancia de la Tierra en cooperación con los Estados miembros y la Agencia Espacial Europea (AEE). Los orígenes de GMES se remontan a mayo de 1998, cuando las instituciones participantes en el desarrollo de actividades espaciales en Europa hicieron una declaración común conocida como el «Manifiesto </w:t>
      </w:r>
      <w:proofErr w:type="spellStart"/>
      <w:r w:rsidRPr="00442E21">
        <w:rPr>
          <w:rFonts w:ascii="Arial" w:hAnsi="Arial" w:cs="Arial"/>
          <w:sz w:val="18"/>
          <w:szCs w:val="18"/>
        </w:rPr>
        <w:t>Baveno</w:t>
      </w:r>
      <w:proofErr w:type="spellEnd"/>
      <w:r w:rsidRPr="00442E21">
        <w:rPr>
          <w:rFonts w:ascii="Arial" w:hAnsi="Arial" w:cs="Arial"/>
          <w:sz w:val="18"/>
          <w:szCs w:val="18"/>
        </w:rPr>
        <w:t>». Partiendo de los resultados de aquella iniciativa, el Reglamento (UE) Nº 911/2010 del Parlamento Europeo y del Consejo estableció el Programa Europeo de Vigilancia de la Tierra (GMES) y las normas para la realización de sus operaciones iniciales. Aunque el programa creado al amparo del Reglamento (UE) Nº 911/2010 debe proseguir con el nuevo Marco Financiero Plurianual 2014-2020, la sigla «GMES» ha de sustituirse por la denominación «</w:t>
      </w:r>
      <w:proofErr w:type="spellStart"/>
      <w:r w:rsidRPr="00442E21">
        <w:rPr>
          <w:rFonts w:ascii="Arial" w:hAnsi="Arial" w:cs="Arial"/>
          <w:sz w:val="18"/>
          <w:szCs w:val="18"/>
        </w:rPr>
        <w:t>Copernicus</w:t>
      </w:r>
      <w:proofErr w:type="spellEnd"/>
      <w:r w:rsidRPr="00442E21">
        <w:rPr>
          <w:rFonts w:ascii="Arial" w:hAnsi="Arial" w:cs="Arial"/>
          <w:sz w:val="18"/>
          <w:szCs w:val="18"/>
        </w:rPr>
        <w:t>» para facilitar la comunicación con el público en general”.</w:t>
      </w:r>
    </w:p>
  </w:footnote>
  <w:footnote w:id="76">
    <w:p w:rsidR="008F486E" w:rsidRPr="00442E21" w:rsidRDefault="008F486E" w:rsidP="00FA7A4B">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Consejo de la Unión Europea, Comunicado de Prensa 717/17, de 1 de diciembre de 2017, Programa espacial </w:t>
      </w:r>
      <w:proofErr w:type="spellStart"/>
      <w:r w:rsidRPr="00442E21">
        <w:rPr>
          <w:rFonts w:ascii="Arial" w:hAnsi="Arial" w:cs="Arial"/>
          <w:sz w:val="18"/>
          <w:szCs w:val="18"/>
        </w:rPr>
        <w:t>Copernicus</w:t>
      </w:r>
      <w:proofErr w:type="spellEnd"/>
      <w:r w:rsidRPr="00442E21">
        <w:rPr>
          <w:rFonts w:ascii="Arial" w:hAnsi="Arial" w:cs="Arial"/>
          <w:sz w:val="18"/>
          <w:szCs w:val="18"/>
        </w:rPr>
        <w:t xml:space="preserve">: Conclusiones sobre la evaluación intermedia, en </w:t>
      </w:r>
      <w:r w:rsidRPr="00442E21">
        <w:rPr>
          <w:rFonts w:ascii="Arial" w:hAnsi="Arial" w:cs="Arial"/>
          <w:sz w:val="18"/>
          <w:szCs w:val="18"/>
        </w:rPr>
        <w:cr/>
      </w:r>
      <w:r w:rsidRPr="00442E21">
        <w:rPr>
          <w:rFonts w:ascii="Arial" w:hAnsi="Arial" w:cs="Arial"/>
          <w:i/>
          <w:sz w:val="18"/>
          <w:szCs w:val="18"/>
        </w:rPr>
        <w:t>http://www.consilium.europa.eu/es/press/press-releases/2017/12/01/the-mid-term-evaluation-of-the-copernicus-programme-council-adopts-conclusions/pdf</w:t>
      </w:r>
    </w:p>
  </w:footnote>
  <w:footnote w:id="77">
    <w:p w:rsidR="008F486E" w:rsidRPr="00442E21" w:rsidRDefault="008F486E" w:rsidP="006869CE">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w:t>
      </w:r>
      <w:r w:rsidRPr="00442E21">
        <w:rPr>
          <w:rFonts w:ascii="Arial" w:hAnsi="Arial" w:cs="Arial"/>
          <w:i/>
          <w:sz w:val="18"/>
          <w:szCs w:val="18"/>
        </w:rPr>
        <w:t>OUE</w:t>
      </w:r>
      <w:r w:rsidRPr="00442E21">
        <w:rPr>
          <w:rFonts w:ascii="Arial" w:hAnsi="Arial" w:cs="Arial"/>
          <w:sz w:val="18"/>
          <w:szCs w:val="18"/>
        </w:rPr>
        <w:t xml:space="preserve"> L 347, de 20 de diciembre de 2013, Reglamento (UE) No 1285/2013 del Parlamento Europeo y del Consejo, de 11 de diciembre de 2013, relativo al establecimiento y la explotación de los sistemas europeos de radionavegación por satélite y por el que se derogan el Reglamento (CE) Nº 876/2002 del Consejo y el Reglamento (CE) Nº 683/2008 del Parlamento Europeo y del Consejo.</w:t>
      </w:r>
    </w:p>
  </w:footnote>
  <w:footnote w:id="78">
    <w:p w:rsidR="008F486E" w:rsidRPr="00442E21" w:rsidRDefault="008F486E" w:rsidP="00B154A4">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xml:space="preserve"> núm. 179, de 27 de julio de 1992. Participación de España en el sistema COSPAS-SARSAT de satélites para localización de emergencias, en calidad de país proveedor del segmento terrestre, hecho en París el 1 de julio de 1988.</w:t>
      </w:r>
    </w:p>
  </w:footnote>
  <w:footnote w:id="79">
    <w:p w:rsidR="008F486E" w:rsidRPr="00442E21" w:rsidRDefault="008F486E" w:rsidP="00B154A4">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BOE</w:t>
      </w:r>
      <w:r w:rsidRPr="00442E21">
        <w:rPr>
          <w:rFonts w:ascii="Arial" w:hAnsi="Arial" w:cs="Arial"/>
          <w:sz w:val="18"/>
          <w:szCs w:val="18"/>
        </w:rPr>
        <w:t xml:space="preserve"> núm. 316, de 29 de diciembre de 2017.  Real Decreto 1036/2017, de 15 de diciembre, por el que se regula la utilización civil de las aeronaves pilotadas por control remoto, y se modifican el Real Decreto 552/2014, de 27 de junio, por el que se desarrolla el Reglamento del aire y disposiciones operativas comunes para los servicios y procedimientos de navegación aérea y el Real Decreto 57/2002, de 18 de enero, por el que se aprueba el Reglamento de Circulación Aérea.</w:t>
      </w:r>
    </w:p>
  </w:footnote>
  <w:footnote w:id="80">
    <w:p w:rsidR="008F486E" w:rsidRPr="00442E21" w:rsidRDefault="008F486E" w:rsidP="00F04C3D">
      <w:pPr>
        <w:pStyle w:val="Textonotapie"/>
        <w:jc w:val="both"/>
        <w:rPr>
          <w:rFonts w:ascii="Arial" w:hAnsi="Arial" w:cs="Arial"/>
          <w:i/>
        </w:rPr>
      </w:pPr>
      <w:r w:rsidRPr="00442E21">
        <w:rPr>
          <w:rStyle w:val="Refdenotaalpie"/>
          <w:rFonts w:ascii="Arial" w:hAnsi="Arial" w:cs="Arial"/>
          <w:sz w:val="18"/>
          <w:szCs w:val="18"/>
        </w:rPr>
        <w:footnoteRef/>
      </w:r>
      <w:r w:rsidRPr="00442E21">
        <w:rPr>
          <w:rFonts w:ascii="Arial" w:hAnsi="Arial" w:cs="Arial"/>
          <w:sz w:val="18"/>
          <w:szCs w:val="18"/>
        </w:rPr>
        <w:t xml:space="preserve"> El Cielo Único Europeo (Single </w:t>
      </w:r>
      <w:proofErr w:type="spellStart"/>
      <w:r w:rsidRPr="00442E21">
        <w:rPr>
          <w:rFonts w:ascii="Arial" w:hAnsi="Arial" w:cs="Arial"/>
          <w:sz w:val="18"/>
          <w:szCs w:val="18"/>
        </w:rPr>
        <w:t>European</w:t>
      </w:r>
      <w:proofErr w:type="spellEnd"/>
      <w:r w:rsidRPr="00442E21">
        <w:rPr>
          <w:rFonts w:ascii="Arial" w:hAnsi="Arial" w:cs="Arial"/>
          <w:sz w:val="18"/>
          <w:szCs w:val="18"/>
        </w:rPr>
        <w:t xml:space="preserve"> </w:t>
      </w:r>
      <w:proofErr w:type="spellStart"/>
      <w:r w:rsidRPr="00442E21">
        <w:rPr>
          <w:rFonts w:ascii="Arial" w:hAnsi="Arial" w:cs="Arial"/>
          <w:sz w:val="18"/>
          <w:szCs w:val="18"/>
        </w:rPr>
        <w:t>Sky</w:t>
      </w:r>
      <w:proofErr w:type="spellEnd"/>
      <w:r w:rsidRPr="00442E21">
        <w:rPr>
          <w:rFonts w:ascii="Arial" w:hAnsi="Arial" w:cs="Arial"/>
          <w:sz w:val="18"/>
          <w:szCs w:val="18"/>
        </w:rPr>
        <w:t xml:space="preserve">, SES) es una iniciativa reglamentaria de la Unión Europea en 2004 que tiene el objetivo fundamental de reestructurar el sistema de gestión de la navegación aérea del continente, promoviendo su evolución hacia un sistema de transporte aéreo más eficaz. Entre las principales iniciativas del proyecto Cielo Único Europeo destacan el Programa SESAR y el SESAR </w:t>
      </w:r>
      <w:proofErr w:type="spellStart"/>
      <w:r w:rsidRPr="00442E21">
        <w:rPr>
          <w:rFonts w:ascii="Arial" w:hAnsi="Arial" w:cs="Arial"/>
          <w:sz w:val="18"/>
          <w:szCs w:val="18"/>
        </w:rPr>
        <w:t>Joint</w:t>
      </w:r>
      <w:proofErr w:type="spellEnd"/>
      <w:r w:rsidRPr="00442E21">
        <w:rPr>
          <w:rFonts w:ascii="Arial" w:hAnsi="Arial" w:cs="Arial"/>
          <w:sz w:val="18"/>
          <w:szCs w:val="18"/>
        </w:rPr>
        <w:t xml:space="preserve"> </w:t>
      </w:r>
      <w:proofErr w:type="spellStart"/>
      <w:r w:rsidRPr="00442E21">
        <w:rPr>
          <w:rFonts w:ascii="Arial" w:hAnsi="Arial" w:cs="Arial"/>
          <w:sz w:val="18"/>
          <w:szCs w:val="18"/>
        </w:rPr>
        <w:t>Undertaking</w:t>
      </w:r>
      <w:proofErr w:type="spellEnd"/>
      <w:r w:rsidRPr="00442E21">
        <w:rPr>
          <w:rFonts w:ascii="Arial" w:hAnsi="Arial" w:cs="Arial"/>
          <w:sz w:val="18"/>
          <w:szCs w:val="18"/>
        </w:rPr>
        <w:t xml:space="preserve">.  (SESAR JU), en </w:t>
      </w:r>
      <w:hyperlink r:id="rId13" w:history="1">
        <w:r w:rsidRPr="00442E21">
          <w:rPr>
            <w:rStyle w:val="Hipervnculo"/>
            <w:rFonts w:ascii="Arial" w:hAnsi="Arial" w:cs="Arial"/>
            <w:i/>
            <w:color w:val="auto"/>
            <w:sz w:val="18"/>
            <w:szCs w:val="18"/>
            <w:u w:val="none"/>
          </w:rPr>
          <w:t>https://www.enaire.es/cielo_%C3%BAnico_europeo</w:t>
        </w:r>
      </w:hyperlink>
      <w:r w:rsidRPr="00442E21">
        <w:rPr>
          <w:rFonts w:ascii="Arial" w:hAnsi="Arial" w:cs="Arial"/>
          <w:i/>
        </w:rPr>
        <w:t xml:space="preserve"> </w:t>
      </w:r>
    </w:p>
  </w:footnote>
  <w:footnote w:id="81">
    <w:p w:rsidR="008F486E" w:rsidRPr="00442E21" w:rsidRDefault="008F486E">
      <w:pPr>
        <w:pStyle w:val="Textonotapie"/>
        <w:rPr>
          <w:rFonts w:ascii="Arial" w:hAnsi="Arial" w:cs="Arial"/>
          <w:sz w:val="18"/>
          <w:szCs w:val="18"/>
        </w:rPr>
      </w:pPr>
      <w:r w:rsidRPr="00442E21">
        <w:rPr>
          <w:rStyle w:val="Refdenotaalpie"/>
          <w:rFonts w:ascii="Arial" w:hAnsi="Arial" w:cs="Arial"/>
          <w:i/>
          <w:sz w:val="18"/>
          <w:szCs w:val="18"/>
        </w:rPr>
        <w:footnoteRef/>
      </w:r>
      <w:r w:rsidRPr="00442E21">
        <w:rPr>
          <w:rFonts w:ascii="Arial" w:hAnsi="Arial" w:cs="Arial"/>
          <w:i/>
          <w:sz w:val="18"/>
          <w:szCs w:val="18"/>
        </w:rPr>
        <w:t xml:space="preserve"> </w:t>
      </w:r>
      <w:hyperlink r:id="rId14" w:history="1">
        <w:r w:rsidRPr="00442E21">
          <w:rPr>
            <w:rStyle w:val="Hipervnculo"/>
            <w:rFonts w:ascii="Arial" w:hAnsi="Arial" w:cs="Arial"/>
            <w:i/>
            <w:color w:val="auto"/>
            <w:sz w:val="18"/>
            <w:szCs w:val="18"/>
            <w:u w:val="none"/>
          </w:rPr>
          <w:t>http://www.esa.int/Our_Activities/Navigation/NAVISP</w:t>
        </w:r>
      </w:hyperlink>
      <w:r w:rsidRPr="00442E21">
        <w:rPr>
          <w:rFonts w:ascii="Arial" w:hAnsi="Arial" w:cs="Arial"/>
          <w:sz w:val="18"/>
          <w:szCs w:val="18"/>
        </w:rPr>
        <w:t xml:space="preserve"> </w:t>
      </w:r>
    </w:p>
  </w:footnote>
  <w:footnote w:id="82">
    <w:p w:rsidR="008F486E" w:rsidRPr="00442E21" w:rsidRDefault="008F486E" w:rsidP="005305A9">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SMITH, L.J., “Legal Aspects of Satellite Navigation”, </w:t>
      </w:r>
      <w:proofErr w:type="spellStart"/>
      <w:r w:rsidRPr="00442E21">
        <w:rPr>
          <w:rFonts w:ascii="Arial" w:hAnsi="Arial" w:cs="Arial"/>
          <w:i/>
          <w:sz w:val="18"/>
          <w:szCs w:val="18"/>
          <w:lang w:val="en-US"/>
        </w:rPr>
        <w:t>Handbokk</w:t>
      </w:r>
      <w:proofErr w:type="spellEnd"/>
      <w:r w:rsidRPr="00442E21">
        <w:rPr>
          <w:rFonts w:ascii="Arial" w:hAnsi="Arial" w:cs="Arial"/>
          <w:i/>
          <w:sz w:val="18"/>
          <w:szCs w:val="18"/>
          <w:lang w:val="en-US"/>
        </w:rPr>
        <w:t xml:space="preserve"> of Space Law</w:t>
      </w:r>
      <w:r w:rsidRPr="00442E21">
        <w:rPr>
          <w:rFonts w:ascii="Arial" w:hAnsi="Arial" w:cs="Arial"/>
          <w:sz w:val="18"/>
          <w:szCs w:val="18"/>
          <w:lang w:val="en-US"/>
        </w:rPr>
        <w:t xml:space="preserve">, 2015. </w:t>
      </w:r>
      <w:proofErr w:type="gramStart"/>
      <w:r w:rsidRPr="00442E21">
        <w:rPr>
          <w:rFonts w:ascii="Arial" w:hAnsi="Arial" w:cs="Arial"/>
          <w:sz w:val="18"/>
          <w:szCs w:val="18"/>
          <w:lang w:val="en-US"/>
        </w:rPr>
        <w:t>Pp. 554 y ss.</w:t>
      </w:r>
      <w:proofErr w:type="gramEnd"/>
    </w:p>
  </w:footnote>
  <w:footnote w:id="83">
    <w:p w:rsidR="008F486E" w:rsidRPr="00442E21" w:rsidRDefault="008F486E" w:rsidP="00C50355">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STEFOUDI, D., “Big Data from Space. Legal Issues related to Access and Dissemination of Large Volumes of Space-Generated Data”, </w:t>
      </w:r>
      <w:r w:rsidRPr="00442E21">
        <w:rPr>
          <w:rFonts w:ascii="Arial" w:hAnsi="Arial" w:cs="Arial"/>
          <w:i/>
          <w:sz w:val="18"/>
          <w:szCs w:val="18"/>
          <w:lang w:val="en-US"/>
        </w:rPr>
        <w:t>Proceedings IISL</w:t>
      </w:r>
      <w:r w:rsidRPr="00442E21">
        <w:rPr>
          <w:rFonts w:ascii="Arial" w:hAnsi="Arial" w:cs="Arial"/>
          <w:sz w:val="18"/>
          <w:szCs w:val="18"/>
          <w:lang w:val="en-US"/>
        </w:rPr>
        <w:t>, 2016, pp.49 y ss.</w:t>
      </w:r>
    </w:p>
  </w:footnote>
  <w:footnote w:id="84">
    <w:p w:rsidR="008F486E" w:rsidRPr="00442E21" w:rsidRDefault="008F486E" w:rsidP="0037448F">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CE Bruselas, 17.6.2014, COM (2014) 344 final, 2014/0176 (COD). </w:t>
      </w:r>
      <w:r w:rsidRPr="00442E21">
        <w:rPr>
          <w:rFonts w:ascii="Arial" w:hAnsi="Arial" w:cs="Arial"/>
          <w:i/>
          <w:sz w:val="18"/>
          <w:szCs w:val="18"/>
        </w:rPr>
        <w:t>Propuesta de Directiva del Parlamento Europeo y del Consejo relativa a la difusión, con fines comerciales, de datos procedentes de satélites de observación de la Tierra</w:t>
      </w:r>
      <w:r w:rsidRPr="00442E21">
        <w:rPr>
          <w:rFonts w:ascii="Arial" w:hAnsi="Arial" w:cs="Arial"/>
          <w:sz w:val="18"/>
          <w:szCs w:val="18"/>
        </w:rPr>
        <w:t>. “La presente Directiva es necesaria, ya que no existen garantías explícitas en la legislación de la UE para que la difusión de datos satelitales por parte de operadores comerciales dentro de la Unión sea libre e ilimitada, a excepción de la difusión de los datos que podrían definirse como DSAR, que deben ser controlados debido al mayor riesgo potencial que puede entrañar su manipulación no autorizada. Por otro lado, no existe un enfoque común en las legislaciones nacionales relativo al tratamiento de DSAR ni a los productos y servicios derivados de estos”.</w:t>
      </w:r>
    </w:p>
  </w:footnote>
  <w:footnote w:id="85">
    <w:p w:rsidR="008F486E" w:rsidRPr="00442E21" w:rsidRDefault="008F486E" w:rsidP="00E0086D">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Directiva UE 2016/1148 del Parlamento Europeo y del Consejo, de 6 de julio de 2016, relativa a las medidas destinadas a garantizar un elevado nivel común de seguridad de las redes y sistemas de información de la Unión. </w:t>
      </w:r>
    </w:p>
  </w:footnote>
  <w:footnote w:id="86">
    <w:p w:rsidR="008F486E" w:rsidRPr="00442E21" w:rsidRDefault="008F486E" w:rsidP="002442E5">
      <w:pPr>
        <w:pStyle w:val="Textonotapie"/>
        <w:jc w:val="both"/>
        <w:rPr>
          <w:rFonts w:ascii="Arial" w:hAnsi="Arial" w:cs="Arial"/>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Vid</w:t>
      </w:r>
      <w:proofErr w:type="gramStart"/>
      <w:r w:rsidRPr="00442E21">
        <w:rPr>
          <w:rFonts w:ascii="Arial" w:hAnsi="Arial" w:cs="Arial"/>
          <w:sz w:val="18"/>
          <w:szCs w:val="18"/>
          <w:lang w:val="en-US"/>
        </w:rPr>
        <w:t>.  POTTER</w:t>
      </w:r>
      <w:proofErr w:type="gramEnd"/>
      <w:r w:rsidRPr="00442E21">
        <w:rPr>
          <w:rFonts w:ascii="Arial" w:hAnsi="Arial" w:cs="Arial"/>
          <w:sz w:val="18"/>
          <w:szCs w:val="18"/>
          <w:lang w:val="en-US"/>
        </w:rPr>
        <w:t>, M., “</w:t>
      </w:r>
      <w:proofErr w:type="spellStart"/>
      <w:r w:rsidRPr="00442E21">
        <w:rPr>
          <w:rFonts w:ascii="Arial" w:hAnsi="Arial" w:cs="Arial"/>
          <w:sz w:val="18"/>
          <w:szCs w:val="18"/>
          <w:lang w:val="en-US"/>
        </w:rPr>
        <w:t>Cibersecurity</w:t>
      </w:r>
      <w:proofErr w:type="spellEnd"/>
      <w:r w:rsidRPr="00442E21">
        <w:rPr>
          <w:rFonts w:ascii="Arial" w:hAnsi="Arial" w:cs="Arial"/>
          <w:sz w:val="18"/>
          <w:szCs w:val="18"/>
          <w:lang w:val="en-US"/>
        </w:rPr>
        <w:t xml:space="preserve"> in the Space Age”, </w:t>
      </w:r>
      <w:r w:rsidRPr="00442E21">
        <w:rPr>
          <w:rFonts w:ascii="Arial" w:hAnsi="Arial" w:cs="Arial"/>
          <w:i/>
          <w:sz w:val="18"/>
          <w:szCs w:val="18"/>
          <w:lang w:val="en-US"/>
        </w:rPr>
        <w:t>Proceedings IISL</w:t>
      </w:r>
      <w:r w:rsidRPr="00442E21">
        <w:rPr>
          <w:rFonts w:ascii="Arial" w:hAnsi="Arial" w:cs="Arial"/>
          <w:sz w:val="18"/>
          <w:szCs w:val="18"/>
          <w:lang w:val="en-US"/>
        </w:rPr>
        <w:t>, 2015, pp. 267 y ss.</w:t>
      </w:r>
    </w:p>
  </w:footnote>
  <w:footnote w:id="87">
    <w:p w:rsidR="008F486E" w:rsidRPr="00442E21" w:rsidRDefault="008F486E" w:rsidP="00926A2A">
      <w:pPr>
        <w:pStyle w:val="Textonotapie"/>
        <w:jc w:val="both"/>
        <w:rPr>
          <w:rFonts w:ascii="Arial" w:hAnsi="Arial" w:cs="Arial"/>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r w:rsidRPr="00442E21">
        <w:rPr>
          <w:rFonts w:ascii="Arial" w:hAnsi="Arial" w:cs="Arial"/>
          <w:i/>
          <w:sz w:val="18"/>
          <w:szCs w:val="18"/>
          <w:lang w:val="en-US"/>
        </w:rPr>
        <w:t>http://www.consilium.europa.eu/es/press/press-releases/2017/11/30/digital-single-gateway-council-agrees-to-make-access-to-information-and-services-easier/</w:t>
      </w:r>
    </w:p>
  </w:footnote>
  <w:footnote w:id="88">
    <w:p w:rsidR="008F486E" w:rsidRPr="00442E21" w:rsidRDefault="008F486E" w:rsidP="005E71B9">
      <w:pPr>
        <w:pStyle w:val="Textonotapie"/>
        <w:jc w:val="both"/>
        <w:rPr>
          <w:rFonts w:ascii="Arial" w:hAnsi="Arial" w:cs="Arial"/>
          <w:sz w:val="18"/>
          <w:szCs w:val="18"/>
        </w:rPr>
      </w:pPr>
      <w:r w:rsidRPr="00442E21">
        <w:rPr>
          <w:rStyle w:val="Refdenotaalpie"/>
          <w:rFonts w:ascii="Arial" w:hAnsi="Arial" w:cs="Arial"/>
        </w:rPr>
        <w:footnoteRef/>
      </w:r>
      <w:r w:rsidRPr="00442E21">
        <w:rPr>
          <w:rFonts w:ascii="Arial" w:hAnsi="Arial" w:cs="Arial"/>
        </w:rPr>
        <w:t xml:space="preserve"> Vid. ARTEAGA, F., </w:t>
      </w:r>
      <w:r w:rsidRPr="00442E21">
        <w:rPr>
          <w:rFonts w:ascii="Arial" w:hAnsi="Arial" w:cs="Arial"/>
          <w:i/>
        </w:rPr>
        <w:t>La defensa europea entre la Estrategia Global y su implementación</w:t>
      </w:r>
      <w:r w:rsidRPr="00442E21">
        <w:rPr>
          <w:rFonts w:ascii="Arial" w:hAnsi="Arial" w:cs="Arial"/>
        </w:rPr>
        <w:t xml:space="preserve">, Documento de trabajo 16/2016, de 28 de diciembre de 2016, Real Instituto Elcano.  “El Tratado de la UE aprobado en Lisboa generó grandes expectativas porque introdujo medidas novedosas como una cláusula de defensa colectiva que permite que reclamar la ayuda de los demás Estados miembros ante una agresión armada (art. 42.7 TUE) y otra que permite esperar esa asistencia solidaria dentro de la UE (art. 222 del TFUE) o fuera </w:t>
      </w:r>
      <w:r w:rsidRPr="00442E21">
        <w:rPr>
          <w:rFonts w:ascii="Arial" w:hAnsi="Arial" w:cs="Arial"/>
          <w:sz w:val="18"/>
          <w:szCs w:val="18"/>
        </w:rPr>
        <w:t xml:space="preserve">de ella (art. 43.1) según el Tratado de Funcionamiento. De forma más restringida, los países que quisieran podrían llevar su colaboración militar hasta donde desearan aprovechando la cooperación estructurada permanente (arts. 42.6 y 46 TUE y Protocolo 10) o realizar misiones u operaciones PCSD por encargo de la UE (arts. 42.5 y 44 TUE). Las expectativas no pasaron del papel a la realidad y la Política Común de Seguridad y Defensa (PCSD) no llegó a ser todo lo común, toda la política y toda la seguridad y la defensa que se ambicionó en Lisboa. Sea por falta de voluntad política de implementar la PCSD o por el coste económico de hacerlo, la defensa europea entró en una fase de estancamiento que se tradujo en regresión con la llegada de la crisis económica. Paralelamente, la inquietud por las revueltas registradas bajo la “primavera árabe” se tradujo en preocupación tras el auge del </w:t>
      </w:r>
      <w:proofErr w:type="spellStart"/>
      <w:r w:rsidRPr="00442E21">
        <w:rPr>
          <w:rFonts w:ascii="Arial" w:hAnsi="Arial" w:cs="Arial"/>
          <w:sz w:val="18"/>
          <w:szCs w:val="18"/>
        </w:rPr>
        <w:t>Daesh</w:t>
      </w:r>
      <w:proofErr w:type="spellEnd"/>
      <w:r w:rsidRPr="00442E21">
        <w:rPr>
          <w:rFonts w:ascii="Arial" w:hAnsi="Arial" w:cs="Arial"/>
          <w:sz w:val="18"/>
          <w:szCs w:val="18"/>
        </w:rPr>
        <w:t xml:space="preserve">, el autodenominado Estado Islámico, y la proclamación del Califato en Irak y Siria en 2014 al que siguieron los ataques terroristas en ciudades europeas y un flujo migratorio incontrolado a través de sus fronteras. En 2014 se abrió en Ucrania otro escenario de conflicto al que la PCSD tampoco pudo responder y, tras la intervención rusa en su frontera oriental, pusieron en evidencia los límites de la PCSD para afrontar el terrorismo </w:t>
      </w:r>
      <w:proofErr w:type="spellStart"/>
      <w:r w:rsidRPr="00442E21">
        <w:rPr>
          <w:rFonts w:ascii="Arial" w:hAnsi="Arial" w:cs="Arial"/>
          <w:sz w:val="18"/>
          <w:szCs w:val="18"/>
        </w:rPr>
        <w:t>yihadista</w:t>
      </w:r>
      <w:proofErr w:type="spellEnd"/>
      <w:r w:rsidRPr="00442E21">
        <w:rPr>
          <w:rFonts w:ascii="Arial" w:hAnsi="Arial" w:cs="Arial"/>
          <w:sz w:val="18"/>
          <w:szCs w:val="18"/>
        </w:rPr>
        <w:t>. La preocupación hubiera sido mayor de ser Ucrania un país miembro de la UE o de la OTAN, lo que hubiera puesto a prueba la determinación y capacidad de la defensa europea. No obstante, la revitalización avanzó más despacio de lo que sus promotores deseaban, y cada vez que intentó dedicar un Consejo a potenciar la defensa europea, la atención de los dirigentes europeos se acabó dedicando a otras cuestiones más urgentes. En compensación, sus valedores aprovecharon cada crisis que padecía la UE a causa del control de fronteras, las migraciones incontroladas, los ataques terroristas, la salida del Reino Unido o la viabilidad del proceso de integración para reivindicar una mayor integración en la defensa como respuesta a esos problemas”.</w:t>
      </w:r>
    </w:p>
  </w:footnote>
  <w:footnote w:id="89">
    <w:p w:rsidR="008F486E" w:rsidRPr="00442E21" w:rsidRDefault="008F486E" w:rsidP="00B437B3">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i/>
          <w:sz w:val="18"/>
          <w:szCs w:val="18"/>
        </w:rPr>
        <w:t>http://www.lamoncloa.gob.es/presidente/actividades/Documents/2017/Declaracio%CC%81n%20de%20Roma.pdf</w:t>
      </w:r>
    </w:p>
  </w:footnote>
  <w:footnote w:id="90">
    <w:p w:rsidR="008F486E" w:rsidRPr="00442E21" w:rsidRDefault="008F486E" w:rsidP="002F4FC5">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Comisión Europea, Alta Representante de la Unión para Asuntos Exteriores y Política de Seguridad, Bruselas, 19.7.2017, </w:t>
      </w:r>
      <w:proofErr w:type="spellStart"/>
      <w:r w:rsidRPr="00442E21">
        <w:rPr>
          <w:rFonts w:ascii="Arial" w:hAnsi="Arial" w:cs="Arial"/>
          <w:sz w:val="18"/>
          <w:szCs w:val="18"/>
        </w:rPr>
        <w:t>Join</w:t>
      </w:r>
      <w:proofErr w:type="spellEnd"/>
      <w:r w:rsidRPr="00442E21">
        <w:rPr>
          <w:rFonts w:ascii="Arial" w:hAnsi="Arial" w:cs="Arial"/>
          <w:sz w:val="18"/>
          <w:szCs w:val="18"/>
        </w:rPr>
        <w:t xml:space="preserve"> (2017) 30 final, </w:t>
      </w:r>
      <w:r w:rsidRPr="00442E21">
        <w:rPr>
          <w:rFonts w:ascii="Arial" w:hAnsi="Arial" w:cs="Arial"/>
          <w:i/>
          <w:sz w:val="18"/>
          <w:szCs w:val="18"/>
        </w:rPr>
        <w:t>Informe Conjunto al Parlamento Europeo y al Consejo relativo a la Aplicación de la Comunicación conjunta sobre la lucha contra las amenazas híbridas - Una respuesta de la Unión Europea.</w:t>
      </w:r>
    </w:p>
  </w:footnote>
  <w:footnote w:id="91">
    <w:p w:rsidR="008F486E" w:rsidRPr="00442E21" w:rsidRDefault="008F486E" w:rsidP="00975B1B">
      <w:pPr>
        <w:pStyle w:val="Textonotapie"/>
        <w:jc w:val="both"/>
        <w:rPr>
          <w:rFonts w:ascii="Arial" w:hAnsi="Arial" w:cs="Arial"/>
          <w:i/>
          <w:sz w:val="18"/>
          <w:szCs w:val="18"/>
          <w:lang w:val="en-US"/>
        </w:rPr>
      </w:pPr>
      <w:r w:rsidRPr="00442E21">
        <w:rPr>
          <w:rStyle w:val="Refdenotaalpie"/>
          <w:rFonts w:ascii="Arial" w:hAnsi="Arial" w:cs="Arial"/>
          <w:sz w:val="18"/>
          <w:szCs w:val="18"/>
        </w:rPr>
        <w:footnoteRef/>
      </w:r>
      <w:r w:rsidRPr="00442E21">
        <w:rPr>
          <w:rFonts w:ascii="Arial" w:hAnsi="Arial" w:cs="Arial"/>
          <w:sz w:val="18"/>
          <w:szCs w:val="18"/>
          <w:lang w:val="en-US"/>
        </w:rPr>
        <w:t xml:space="preserve"> </w:t>
      </w:r>
      <w:proofErr w:type="spellStart"/>
      <w:r w:rsidRPr="00442E21">
        <w:rPr>
          <w:rFonts w:ascii="Arial" w:hAnsi="Arial" w:cs="Arial"/>
          <w:sz w:val="18"/>
          <w:szCs w:val="18"/>
          <w:lang w:val="en-US"/>
        </w:rPr>
        <w:t>Consejo</w:t>
      </w:r>
      <w:proofErr w:type="spellEnd"/>
      <w:r w:rsidRPr="00442E21">
        <w:rPr>
          <w:rFonts w:ascii="Arial" w:hAnsi="Arial" w:cs="Arial"/>
          <w:sz w:val="18"/>
          <w:szCs w:val="18"/>
          <w:lang w:val="en-US"/>
        </w:rPr>
        <w:t xml:space="preserve"> de la Unión </w:t>
      </w:r>
      <w:proofErr w:type="spellStart"/>
      <w:r w:rsidRPr="00442E21">
        <w:rPr>
          <w:rFonts w:ascii="Arial" w:hAnsi="Arial" w:cs="Arial"/>
          <w:sz w:val="18"/>
          <w:szCs w:val="18"/>
          <w:lang w:val="en-US"/>
        </w:rPr>
        <w:t>Europea</w:t>
      </w:r>
      <w:proofErr w:type="spellEnd"/>
      <w:r w:rsidRPr="00442E21">
        <w:rPr>
          <w:rFonts w:ascii="Arial" w:hAnsi="Arial" w:cs="Arial"/>
          <w:sz w:val="18"/>
          <w:szCs w:val="18"/>
          <w:lang w:val="en-US"/>
        </w:rPr>
        <w:t xml:space="preserve">, Brussels, 8 December 2017, 14866/17, CORLX 548, CFSP/PESC 1063, CSDP/PSDC 667, FIN 752, LEGISLATIVE ACTS AND OTHER INSTRUMENTS </w:t>
      </w:r>
      <w:r w:rsidRPr="00442E21">
        <w:rPr>
          <w:rFonts w:ascii="Arial" w:hAnsi="Arial" w:cs="Arial"/>
          <w:i/>
          <w:sz w:val="18"/>
          <w:szCs w:val="18"/>
          <w:lang w:val="en-US"/>
        </w:rPr>
        <w:t>COUNCIL DECISION establishing Permanent Structured Cooperation (PESCO) and determining the list of Participating Member States.</w:t>
      </w:r>
    </w:p>
  </w:footnote>
  <w:footnote w:id="92">
    <w:p w:rsidR="008F486E" w:rsidRPr="00442E21" w:rsidRDefault="008F486E" w:rsidP="0036507D">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 xml:space="preserve">DOUE </w:t>
      </w:r>
      <w:r w:rsidRPr="00442E21">
        <w:rPr>
          <w:rFonts w:ascii="Arial" w:hAnsi="Arial" w:cs="Arial"/>
          <w:sz w:val="18"/>
          <w:szCs w:val="18"/>
        </w:rPr>
        <w:t>C 83/13, de 30 de marzo de 2010, Versión Consolidada del Tratado de la Unión Europea.</w:t>
      </w:r>
    </w:p>
  </w:footnote>
  <w:footnote w:id="93">
    <w:p w:rsidR="008F486E" w:rsidRPr="00442E21" w:rsidRDefault="008F486E" w:rsidP="00014DCB">
      <w:pPr>
        <w:pStyle w:val="Textonotapie"/>
        <w:jc w:val="both"/>
        <w:rPr>
          <w:rFonts w:ascii="Arial" w:hAnsi="Arial" w:cs="Arial"/>
        </w:rPr>
      </w:pPr>
      <w:r w:rsidRPr="00442E21">
        <w:rPr>
          <w:rStyle w:val="Refdenotaalpie"/>
          <w:rFonts w:ascii="Arial" w:hAnsi="Arial" w:cs="Arial"/>
          <w:sz w:val="18"/>
          <w:szCs w:val="18"/>
        </w:rPr>
        <w:footnoteRef/>
      </w:r>
      <w:r w:rsidRPr="00442E21">
        <w:rPr>
          <w:rFonts w:ascii="Arial" w:hAnsi="Arial" w:cs="Arial"/>
          <w:sz w:val="18"/>
          <w:szCs w:val="18"/>
        </w:rPr>
        <w:t xml:space="preserve"> El Plan de Acción Europeo de Defensa tenía como objetivos fomentar la demanda incentivando la inversión, avanzar hacia la autonomía estratégica desarrollando capacidades militares y potenciar la competitividad de industria apoyando la investigación.</w:t>
      </w:r>
      <w:r w:rsidRPr="00442E21">
        <w:rPr>
          <w:rFonts w:ascii="Arial" w:hAnsi="Arial" w:cs="Arial"/>
        </w:rPr>
        <w:t xml:space="preserve"> </w:t>
      </w:r>
    </w:p>
  </w:footnote>
  <w:footnote w:id="94">
    <w:p w:rsidR="008F486E" w:rsidRPr="00442E21" w:rsidRDefault="008F486E" w:rsidP="00404642">
      <w:pPr>
        <w:pStyle w:val="Textonotapie"/>
        <w:jc w:val="both"/>
        <w:rPr>
          <w:rFonts w:ascii="Arial" w:hAnsi="Arial" w:cs="Arial"/>
          <w:i/>
          <w:sz w:val="18"/>
          <w:szCs w:val="18"/>
        </w:rPr>
      </w:pPr>
      <w:r w:rsidRPr="00442E21">
        <w:rPr>
          <w:rStyle w:val="Refdenotaalpie"/>
          <w:rFonts w:ascii="Arial" w:hAnsi="Arial" w:cs="Arial"/>
          <w:i/>
          <w:sz w:val="18"/>
          <w:szCs w:val="18"/>
        </w:rPr>
        <w:footnoteRef/>
      </w:r>
      <w:r w:rsidRPr="00442E21">
        <w:rPr>
          <w:rFonts w:ascii="Arial" w:hAnsi="Arial" w:cs="Arial"/>
          <w:i/>
          <w:sz w:val="18"/>
          <w:szCs w:val="18"/>
        </w:rPr>
        <w:t xml:space="preserve"> https://www.eda.europa.eu/info-hub/press-centre/latest-news/2017/06/16/14-eda-member-states-to-pool-share-govsatcom-capabilities</w:t>
      </w:r>
    </w:p>
  </w:footnote>
  <w:footnote w:id="95">
    <w:p w:rsidR="008F486E" w:rsidRPr="00442E21" w:rsidRDefault="008F486E" w:rsidP="00E306E7">
      <w:pPr>
        <w:pStyle w:val="Textonotapie"/>
        <w:jc w:val="both"/>
        <w:rPr>
          <w:rFonts w:ascii="Arial" w:hAnsi="Arial" w:cs="Arial"/>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w:t>
      </w:r>
      <w:r w:rsidRPr="00442E21">
        <w:rPr>
          <w:rFonts w:ascii="Arial" w:hAnsi="Arial" w:cs="Arial"/>
          <w:i/>
          <w:sz w:val="18"/>
          <w:szCs w:val="18"/>
        </w:rPr>
        <w:t>http://www.defensa.gob.es/Galerias/dgamdocs/plan-director-sistemas-espaciales.pdf</w:t>
      </w:r>
    </w:p>
  </w:footnote>
  <w:footnote w:id="96">
    <w:p w:rsidR="008F486E" w:rsidRPr="00442E21" w:rsidRDefault="008F486E" w:rsidP="007723E3">
      <w:pPr>
        <w:pStyle w:val="Textonotapie"/>
        <w:jc w:val="both"/>
        <w:rPr>
          <w:rFonts w:ascii="Arial" w:hAnsi="Arial" w:cs="Arial"/>
          <w:i/>
          <w:sz w:val="18"/>
          <w:szCs w:val="18"/>
        </w:rPr>
      </w:pPr>
      <w:r w:rsidRPr="00442E21">
        <w:rPr>
          <w:rStyle w:val="Refdenotaalpie"/>
          <w:rFonts w:ascii="Arial" w:hAnsi="Arial" w:cs="Arial"/>
          <w:sz w:val="18"/>
          <w:szCs w:val="18"/>
        </w:rPr>
        <w:footnoteRef/>
      </w:r>
      <w:r w:rsidRPr="00442E21">
        <w:rPr>
          <w:rFonts w:ascii="Arial" w:hAnsi="Arial" w:cs="Arial"/>
          <w:sz w:val="18"/>
          <w:szCs w:val="18"/>
        </w:rPr>
        <w:t xml:space="preserve"> Doc. AGNU  A/57/724, de 6 de febrero de 2003, Quincuagésimo séptimo período de sesiones, Tema 66 del programa, Desarme general y completo, “Carta de fecha 30 de enero de 2003 dirigida al Secretario General por el Representante Permanente de los Países Bajos ante las Naciones Unidas. ANEXO</w:t>
      </w:r>
      <w:r w:rsidRPr="00442E21">
        <w:rPr>
          <w:rFonts w:ascii="Arial" w:hAnsi="Arial" w:cs="Arial"/>
          <w:i/>
          <w:sz w:val="18"/>
          <w:szCs w:val="18"/>
        </w:rPr>
        <w:t>, Código Internacional de Conducta contra la Proliferación de los Misiles Balísticos.</w:t>
      </w:r>
    </w:p>
  </w:footnote>
  <w:footnote w:id="97">
    <w:p w:rsidR="008F486E" w:rsidRPr="00F21BE0" w:rsidRDefault="008F486E" w:rsidP="00F21BE0">
      <w:pPr>
        <w:pStyle w:val="Textonotapie"/>
        <w:jc w:val="both"/>
        <w:rPr>
          <w:rFonts w:ascii="Times New Roman" w:hAnsi="Times New Roman" w:cs="Times New Roman"/>
        </w:rPr>
      </w:pPr>
      <w:r w:rsidRPr="00442E21">
        <w:rPr>
          <w:rStyle w:val="Refdenotaalpie"/>
          <w:rFonts w:ascii="Arial" w:hAnsi="Arial" w:cs="Arial"/>
          <w:sz w:val="18"/>
          <w:szCs w:val="18"/>
        </w:rPr>
        <w:footnoteRef/>
      </w:r>
      <w:r w:rsidRPr="00442E21">
        <w:rPr>
          <w:rFonts w:ascii="Arial" w:hAnsi="Arial" w:cs="Arial"/>
          <w:sz w:val="18"/>
          <w:szCs w:val="18"/>
        </w:rPr>
        <w:t xml:space="preserve"> DE FARAMIÑÁN GILBERT, J.M.” Derecho al desarme y seguridad humana”, en </w:t>
      </w:r>
      <w:r w:rsidRPr="00442E21">
        <w:rPr>
          <w:rFonts w:ascii="Arial" w:hAnsi="Arial" w:cs="Arial"/>
          <w:i/>
          <w:sz w:val="18"/>
          <w:szCs w:val="18"/>
        </w:rPr>
        <w:t xml:space="preserve">Carmelo </w:t>
      </w:r>
      <w:proofErr w:type="spellStart"/>
      <w:r w:rsidRPr="00442E21">
        <w:rPr>
          <w:rFonts w:ascii="Arial" w:hAnsi="Arial" w:cs="Arial"/>
          <w:i/>
          <w:sz w:val="18"/>
          <w:szCs w:val="18"/>
        </w:rPr>
        <w:t>Faleh</w:t>
      </w:r>
      <w:proofErr w:type="spellEnd"/>
      <w:r w:rsidRPr="00442E21">
        <w:rPr>
          <w:rFonts w:ascii="Arial" w:hAnsi="Arial" w:cs="Arial"/>
          <w:i/>
          <w:sz w:val="18"/>
          <w:szCs w:val="18"/>
        </w:rPr>
        <w:t xml:space="preserve"> Pérez y Carlos Villán Durán (</w:t>
      </w:r>
      <w:proofErr w:type="spellStart"/>
      <w:r w:rsidRPr="00442E21">
        <w:rPr>
          <w:rFonts w:ascii="Arial" w:hAnsi="Arial" w:cs="Arial"/>
          <w:i/>
          <w:sz w:val="18"/>
          <w:szCs w:val="18"/>
        </w:rPr>
        <w:t>dirs</w:t>
      </w:r>
      <w:proofErr w:type="spellEnd"/>
      <w:r w:rsidRPr="00442E21">
        <w:rPr>
          <w:rFonts w:ascii="Arial" w:hAnsi="Arial" w:cs="Arial"/>
          <w:i/>
          <w:sz w:val="18"/>
          <w:szCs w:val="18"/>
        </w:rPr>
        <w:t>.): El derecho humano a la paz y la (in)seguridad humana</w:t>
      </w:r>
      <w:r w:rsidRPr="00442E21">
        <w:rPr>
          <w:rFonts w:ascii="Arial" w:hAnsi="Arial" w:cs="Arial"/>
          <w:sz w:val="18"/>
          <w:szCs w:val="18"/>
        </w:rPr>
        <w:t xml:space="preserve">, 2017. “Desde su creación, la Organización de las Naciones Unidas ha sido el adalid de los objetivos del desarme como el criterio eje para mantener la paz y la seguridad internacionales. Su cometido se ha centrado fundamentalmente en la reducción y eliminación de las armas nucleares, la destrucción de las armas químicas y biológicas, así como el control de las armas ligeras y armas convencionales. Se ha hecho especial hincapié en detener la proliferación de las minas antipersonas y terrestres y en la actualidad existe una seria preocupación por el aumento del terrorismo internacional que está generando lo que se ha dado en llamar conflictos asimétricos en donde el actor no es un Estado identificable, salvo el autodenominado Estado Islámico” lo que genera una gran incertidumbre en los modos de evitar su proliferación. Dentro de los esfuerzos institucionales que se han llevado a cabo, conviene destacar el Tratado sobre la no Proliferación de Armas Nucleares de 1968, así como el Tratado de Prohibición Completa de los Ensayos Nucleares de 1996, la Convención sobre Armas Biológicas de 1972, la Convención sobre Armas Químicas de 1997, la Convención sobre la Prohibición de Minas de 1999, el Convenio Internacional para la </w:t>
      </w:r>
      <w:bookmarkStart w:id="0" w:name="_GoBack"/>
      <w:r w:rsidRPr="00442E21">
        <w:rPr>
          <w:rFonts w:ascii="Arial" w:hAnsi="Arial" w:cs="Arial"/>
          <w:sz w:val="18"/>
          <w:szCs w:val="18"/>
        </w:rPr>
        <w:t>Represión de los Actos de Terrorismo de Carácter Nuclear de 2005 y acuerdos de carácter regional como los relativos a la  prohibición de armas nucleares en la Antártida, en América Latina y el Caribe (T. de Tlatelolco), en el Pacífico Sur, en Asia Suroriental, en Asia Central, en África, en el espacio ultraterrestre y en los fondos marinos y oceánicos.  ”.</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309"/>
    <w:multiLevelType w:val="hybridMultilevel"/>
    <w:tmpl w:val="A49457F6"/>
    <w:lvl w:ilvl="0" w:tplc="5C3E152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E7713B2"/>
    <w:multiLevelType w:val="hybridMultilevel"/>
    <w:tmpl w:val="E6783E90"/>
    <w:lvl w:ilvl="0" w:tplc="AC8032DE">
      <w:start w:val="1"/>
      <w:numFmt w:val="decimal"/>
      <w:lvlText w:val="%1."/>
      <w:lvlJc w:val="left"/>
      <w:pPr>
        <w:ind w:left="720" w:hanging="360"/>
      </w:pPr>
      <w:rPr>
        <w:rFonts w:eastAsia="+mn-ea"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665CCF"/>
    <w:multiLevelType w:val="hybridMultilevel"/>
    <w:tmpl w:val="6F06D9E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B700EE"/>
    <w:multiLevelType w:val="hybridMultilevel"/>
    <w:tmpl w:val="D1AA0134"/>
    <w:lvl w:ilvl="0" w:tplc="CA6AC7FE">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BC3D35"/>
    <w:multiLevelType w:val="hybridMultilevel"/>
    <w:tmpl w:val="5E8A44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EE7E4C"/>
    <w:multiLevelType w:val="hybridMultilevel"/>
    <w:tmpl w:val="24C2B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AD16BF9"/>
    <w:multiLevelType w:val="hybridMultilevel"/>
    <w:tmpl w:val="DE529A98"/>
    <w:lvl w:ilvl="0" w:tplc="D0A60C7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F23832"/>
    <w:multiLevelType w:val="hybridMultilevel"/>
    <w:tmpl w:val="4AB6BDBA"/>
    <w:lvl w:ilvl="0" w:tplc="0C0A0017">
      <w:start w:val="1"/>
      <w:numFmt w:val="lowerLetter"/>
      <w:lvlText w:val="%1)"/>
      <w:lvlJc w:val="left"/>
      <w:pPr>
        <w:ind w:left="720" w:hanging="360"/>
      </w:pPr>
      <w:rPr>
        <w:rFonts w:hint="default"/>
        <w:b w:val="0"/>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CC1FDB"/>
    <w:multiLevelType w:val="hybridMultilevel"/>
    <w:tmpl w:val="087A9F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EE7513"/>
    <w:multiLevelType w:val="hybridMultilevel"/>
    <w:tmpl w:val="4EFEE8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7D790C"/>
    <w:multiLevelType w:val="hybridMultilevel"/>
    <w:tmpl w:val="5FE8C56A"/>
    <w:lvl w:ilvl="0" w:tplc="A97C7DAA">
      <w:start w:val="3"/>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2A900356"/>
    <w:multiLevelType w:val="hybridMultilevel"/>
    <w:tmpl w:val="8EC0CEA2"/>
    <w:lvl w:ilvl="0" w:tplc="4BCE9C52">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EC6959"/>
    <w:multiLevelType w:val="hybridMultilevel"/>
    <w:tmpl w:val="28F46732"/>
    <w:lvl w:ilvl="0" w:tplc="1F04413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34B6ECE"/>
    <w:multiLevelType w:val="hybridMultilevel"/>
    <w:tmpl w:val="C22C9AB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0C7731"/>
    <w:multiLevelType w:val="hybridMultilevel"/>
    <w:tmpl w:val="8E783D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466A3C"/>
    <w:multiLevelType w:val="hybridMultilevel"/>
    <w:tmpl w:val="35CEB21C"/>
    <w:lvl w:ilvl="0" w:tplc="0C0A0017">
      <w:start w:val="1"/>
      <w:numFmt w:val="lowerLetter"/>
      <w:lvlText w:val="%1)"/>
      <w:lvlJc w:val="left"/>
      <w:pPr>
        <w:ind w:left="720" w:hanging="360"/>
      </w:pPr>
      <w:rPr>
        <w:rFonts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699596F"/>
    <w:multiLevelType w:val="hybridMultilevel"/>
    <w:tmpl w:val="DC1A6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B95045"/>
    <w:multiLevelType w:val="hybridMultilevel"/>
    <w:tmpl w:val="71124C2C"/>
    <w:lvl w:ilvl="0" w:tplc="7D56C8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DA07189"/>
    <w:multiLevelType w:val="hybridMultilevel"/>
    <w:tmpl w:val="0C1623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207398D"/>
    <w:multiLevelType w:val="hybridMultilevel"/>
    <w:tmpl w:val="315624A6"/>
    <w:lvl w:ilvl="0" w:tplc="BCBC0182">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4BA002CD"/>
    <w:multiLevelType w:val="hybridMultilevel"/>
    <w:tmpl w:val="FC1EADB8"/>
    <w:lvl w:ilvl="0" w:tplc="1B4A3886">
      <w:start w:val="1"/>
      <w:numFmt w:val="lowerLetter"/>
      <w:lvlText w:val="%1)"/>
      <w:lvlJc w:val="left"/>
      <w:pPr>
        <w:ind w:left="420" w:hanging="360"/>
      </w:pPr>
      <w:rPr>
        <w:rFonts w:hint="default"/>
        <w:b/>
        <w:i/>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nsid w:val="4CFC2723"/>
    <w:multiLevelType w:val="hybridMultilevel"/>
    <w:tmpl w:val="76681090"/>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4B5514"/>
    <w:multiLevelType w:val="hybridMultilevel"/>
    <w:tmpl w:val="54A007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E5D1D09"/>
    <w:multiLevelType w:val="hybridMultilevel"/>
    <w:tmpl w:val="C0948B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E8F0190"/>
    <w:multiLevelType w:val="hybridMultilevel"/>
    <w:tmpl w:val="42729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F45AE5"/>
    <w:multiLevelType w:val="hybridMultilevel"/>
    <w:tmpl w:val="DD547DDC"/>
    <w:lvl w:ilvl="0" w:tplc="CAEA250C">
      <w:start w:val="1"/>
      <w:numFmt w:val="upperRoman"/>
      <w:lvlText w:val="%1."/>
      <w:lvlJc w:val="left"/>
      <w:pPr>
        <w:ind w:left="1080" w:hanging="720"/>
      </w:pPr>
      <w:rPr>
        <w:rFonts w:hint="default"/>
        <w:i w:val="0"/>
      </w:rPr>
    </w:lvl>
    <w:lvl w:ilvl="1" w:tplc="B73E3416">
      <w:start w:val="1"/>
      <w:numFmt w:val="upperLetter"/>
      <w:lvlText w:val="%2."/>
      <w:lvlJc w:val="left"/>
      <w:pPr>
        <w:ind w:left="1440" w:hanging="360"/>
      </w:pPr>
      <w:rPr>
        <w:rFonts w:ascii="Times New Roman" w:eastAsiaTheme="minorHAnsi" w:hAnsi="Times New Roman" w:cs="Times New Roman"/>
      </w:rPr>
    </w:lvl>
    <w:lvl w:ilvl="2" w:tplc="6526BF50">
      <w:start w:val="1"/>
      <w:numFmt w:val="decimal"/>
      <w:lvlText w:val="%3."/>
      <w:lvlJc w:val="right"/>
      <w:pPr>
        <w:ind w:left="2023" w:hanging="180"/>
      </w:pPr>
      <w:rPr>
        <w:rFonts w:ascii="Times New Roman" w:eastAsiaTheme="minorHAnsi" w:hAnsi="Times New Roman" w:cs="Times New Roman"/>
        <w:i w:val="0"/>
      </w:rPr>
    </w:lvl>
    <w:lvl w:ilvl="3" w:tplc="313AE36A">
      <w:start w:val="1"/>
      <w:numFmt w:val="lowerLetter"/>
      <w:lvlText w:val="%4."/>
      <w:lvlJc w:val="left"/>
      <w:pPr>
        <w:ind w:left="2880" w:hanging="360"/>
      </w:pPr>
      <w:rPr>
        <w:rFonts w:ascii="Arial" w:eastAsiaTheme="minorHAnsi" w:hAnsi="Arial" w:cs="Arial"/>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60714A4"/>
    <w:multiLevelType w:val="hybridMultilevel"/>
    <w:tmpl w:val="5ACCC3C0"/>
    <w:lvl w:ilvl="0" w:tplc="D8ACD20A">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90154B3"/>
    <w:multiLevelType w:val="hybridMultilevel"/>
    <w:tmpl w:val="7A4E6AA8"/>
    <w:lvl w:ilvl="0" w:tplc="0D62E28C">
      <w:start w:val="1"/>
      <w:numFmt w:val="upperRoman"/>
      <w:lvlText w:val="%1."/>
      <w:lvlJc w:val="right"/>
      <w:pPr>
        <w:tabs>
          <w:tab w:val="num" w:pos="720"/>
        </w:tabs>
        <w:ind w:left="720" w:hanging="360"/>
      </w:pPr>
      <w:rPr>
        <w:rFonts w:ascii="Times New Roman" w:eastAsia="+mn-ea" w:hAnsi="Times New Roman" w:cs="Times New Roman"/>
      </w:rPr>
    </w:lvl>
    <w:lvl w:ilvl="1" w:tplc="2A50BAE6" w:tentative="1">
      <w:start w:val="1"/>
      <w:numFmt w:val="upperRoman"/>
      <w:lvlText w:val="%2."/>
      <w:lvlJc w:val="right"/>
      <w:pPr>
        <w:tabs>
          <w:tab w:val="num" w:pos="1440"/>
        </w:tabs>
        <w:ind w:left="1440" w:hanging="360"/>
      </w:pPr>
    </w:lvl>
    <w:lvl w:ilvl="2" w:tplc="957AFB52" w:tentative="1">
      <w:start w:val="1"/>
      <w:numFmt w:val="upperRoman"/>
      <w:lvlText w:val="%3."/>
      <w:lvlJc w:val="right"/>
      <w:pPr>
        <w:tabs>
          <w:tab w:val="num" w:pos="2160"/>
        </w:tabs>
        <w:ind w:left="2160" w:hanging="360"/>
      </w:pPr>
    </w:lvl>
    <w:lvl w:ilvl="3" w:tplc="3DBA8CAC" w:tentative="1">
      <w:start w:val="1"/>
      <w:numFmt w:val="upperRoman"/>
      <w:lvlText w:val="%4."/>
      <w:lvlJc w:val="right"/>
      <w:pPr>
        <w:tabs>
          <w:tab w:val="num" w:pos="2880"/>
        </w:tabs>
        <w:ind w:left="2880" w:hanging="360"/>
      </w:pPr>
    </w:lvl>
    <w:lvl w:ilvl="4" w:tplc="077EB3C8" w:tentative="1">
      <w:start w:val="1"/>
      <w:numFmt w:val="upperRoman"/>
      <w:lvlText w:val="%5."/>
      <w:lvlJc w:val="right"/>
      <w:pPr>
        <w:tabs>
          <w:tab w:val="num" w:pos="3600"/>
        </w:tabs>
        <w:ind w:left="3600" w:hanging="360"/>
      </w:pPr>
    </w:lvl>
    <w:lvl w:ilvl="5" w:tplc="8110A816" w:tentative="1">
      <w:start w:val="1"/>
      <w:numFmt w:val="upperRoman"/>
      <w:lvlText w:val="%6."/>
      <w:lvlJc w:val="right"/>
      <w:pPr>
        <w:tabs>
          <w:tab w:val="num" w:pos="4320"/>
        </w:tabs>
        <w:ind w:left="4320" w:hanging="360"/>
      </w:pPr>
    </w:lvl>
    <w:lvl w:ilvl="6" w:tplc="DB3C4772" w:tentative="1">
      <w:start w:val="1"/>
      <w:numFmt w:val="upperRoman"/>
      <w:lvlText w:val="%7."/>
      <w:lvlJc w:val="right"/>
      <w:pPr>
        <w:tabs>
          <w:tab w:val="num" w:pos="5040"/>
        </w:tabs>
        <w:ind w:left="5040" w:hanging="360"/>
      </w:pPr>
    </w:lvl>
    <w:lvl w:ilvl="7" w:tplc="42261364" w:tentative="1">
      <w:start w:val="1"/>
      <w:numFmt w:val="upperRoman"/>
      <w:lvlText w:val="%8."/>
      <w:lvlJc w:val="right"/>
      <w:pPr>
        <w:tabs>
          <w:tab w:val="num" w:pos="5760"/>
        </w:tabs>
        <w:ind w:left="5760" w:hanging="360"/>
      </w:pPr>
    </w:lvl>
    <w:lvl w:ilvl="8" w:tplc="44D62694" w:tentative="1">
      <w:start w:val="1"/>
      <w:numFmt w:val="upperRoman"/>
      <w:lvlText w:val="%9."/>
      <w:lvlJc w:val="right"/>
      <w:pPr>
        <w:tabs>
          <w:tab w:val="num" w:pos="6480"/>
        </w:tabs>
        <w:ind w:left="6480" w:hanging="360"/>
      </w:pPr>
    </w:lvl>
  </w:abstractNum>
  <w:abstractNum w:abstractNumId="28">
    <w:nsid w:val="5AD42DBE"/>
    <w:multiLevelType w:val="hybridMultilevel"/>
    <w:tmpl w:val="1366932C"/>
    <w:lvl w:ilvl="0" w:tplc="64044A04">
      <w:start w:val="1"/>
      <w:numFmt w:val="lowerRoman"/>
      <w:lvlText w:val="%1)"/>
      <w:lvlJc w:val="left"/>
      <w:pPr>
        <w:ind w:left="1080" w:hanging="720"/>
      </w:pPr>
      <w:rPr>
        <w:rFonts w:hint="default"/>
        <w:i w:val="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CC777EF"/>
    <w:multiLevelType w:val="hybridMultilevel"/>
    <w:tmpl w:val="DB18DC34"/>
    <w:lvl w:ilvl="0" w:tplc="A9CA3808">
      <w:start w:val="500"/>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EDC7454"/>
    <w:multiLevelType w:val="hybridMultilevel"/>
    <w:tmpl w:val="3E5009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503042"/>
    <w:multiLevelType w:val="hybridMultilevel"/>
    <w:tmpl w:val="537EA496"/>
    <w:lvl w:ilvl="0" w:tplc="0C0A0015">
      <w:start w:val="1"/>
      <w:numFmt w:val="upperLetter"/>
      <w:lvlText w:val="%1."/>
      <w:lvlJc w:val="left"/>
      <w:pPr>
        <w:ind w:left="720" w:hanging="360"/>
      </w:pPr>
      <w:rPr>
        <w:rFonts w:hint="default"/>
        <w:b w:val="0"/>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7417AB"/>
    <w:multiLevelType w:val="hybridMultilevel"/>
    <w:tmpl w:val="0BA62E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7D81F16"/>
    <w:multiLevelType w:val="hybridMultilevel"/>
    <w:tmpl w:val="A818274E"/>
    <w:lvl w:ilvl="0" w:tplc="379230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8932D21"/>
    <w:multiLevelType w:val="hybridMultilevel"/>
    <w:tmpl w:val="9578A478"/>
    <w:lvl w:ilvl="0" w:tplc="06A2DDE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B946B81"/>
    <w:multiLevelType w:val="hybridMultilevel"/>
    <w:tmpl w:val="E2520F9C"/>
    <w:lvl w:ilvl="0" w:tplc="E968E9B2">
      <w:start w:val="1"/>
      <w:numFmt w:val="lowerLetter"/>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6">
    <w:nsid w:val="6CD62641"/>
    <w:multiLevelType w:val="hybridMultilevel"/>
    <w:tmpl w:val="41C6A6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01D6536"/>
    <w:multiLevelType w:val="hybridMultilevel"/>
    <w:tmpl w:val="BA3E7366"/>
    <w:lvl w:ilvl="0" w:tplc="F3EAFE5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21138CA"/>
    <w:multiLevelType w:val="hybridMultilevel"/>
    <w:tmpl w:val="B5FE59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E33F36"/>
    <w:multiLevelType w:val="hybridMultilevel"/>
    <w:tmpl w:val="5960167A"/>
    <w:lvl w:ilvl="0" w:tplc="7A04851E">
      <w:start w:val="5"/>
      <w:numFmt w:val="bullet"/>
      <w:lvlText w:val="-"/>
      <w:lvlJc w:val="left"/>
      <w:pPr>
        <w:ind w:left="720" w:hanging="360"/>
      </w:pPr>
      <w:rPr>
        <w:rFonts w:ascii="Times New Roman" w:eastAsia="+mn-ea"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DA91211"/>
    <w:multiLevelType w:val="hybridMultilevel"/>
    <w:tmpl w:val="B074C85C"/>
    <w:lvl w:ilvl="0" w:tplc="61E4C658">
      <w:start w:val="3"/>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3"/>
  </w:num>
  <w:num w:numId="3">
    <w:abstractNumId w:val="2"/>
  </w:num>
  <w:num w:numId="4">
    <w:abstractNumId w:val="25"/>
  </w:num>
  <w:num w:numId="5">
    <w:abstractNumId w:val="17"/>
  </w:num>
  <w:num w:numId="6">
    <w:abstractNumId w:val="15"/>
  </w:num>
  <w:num w:numId="7">
    <w:abstractNumId w:val="9"/>
  </w:num>
  <w:num w:numId="8">
    <w:abstractNumId w:val="30"/>
  </w:num>
  <w:num w:numId="9">
    <w:abstractNumId w:val="33"/>
  </w:num>
  <w:num w:numId="10">
    <w:abstractNumId w:val="6"/>
  </w:num>
  <w:num w:numId="11">
    <w:abstractNumId w:val="23"/>
  </w:num>
  <w:num w:numId="12">
    <w:abstractNumId w:val="38"/>
  </w:num>
  <w:num w:numId="13">
    <w:abstractNumId w:val="4"/>
  </w:num>
  <w:num w:numId="14">
    <w:abstractNumId w:val="28"/>
  </w:num>
  <w:num w:numId="15">
    <w:abstractNumId w:val="21"/>
  </w:num>
  <w:num w:numId="16">
    <w:abstractNumId w:val="11"/>
  </w:num>
  <w:num w:numId="17">
    <w:abstractNumId w:val="22"/>
  </w:num>
  <w:num w:numId="18">
    <w:abstractNumId w:val="7"/>
  </w:num>
  <w:num w:numId="19">
    <w:abstractNumId w:val="5"/>
  </w:num>
  <w:num w:numId="20">
    <w:abstractNumId w:val="18"/>
  </w:num>
  <w:num w:numId="21">
    <w:abstractNumId w:val="12"/>
  </w:num>
  <w:num w:numId="22">
    <w:abstractNumId w:val="0"/>
  </w:num>
  <w:num w:numId="23">
    <w:abstractNumId w:val="40"/>
  </w:num>
  <w:num w:numId="24">
    <w:abstractNumId w:val="32"/>
  </w:num>
  <w:num w:numId="25">
    <w:abstractNumId w:val="31"/>
  </w:num>
  <w:num w:numId="26">
    <w:abstractNumId w:val="36"/>
  </w:num>
  <w:num w:numId="27">
    <w:abstractNumId w:val="24"/>
  </w:num>
  <w:num w:numId="28">
    <w:abstractNumId w:val="3"/>
  </w:num>
  <w:num w:numId="29">
    <w:abstractNumId w:val="20"/>
  </w:num>
  <w:num w:numId="30">
    <w:abstractNumId w:val="14"/>
  </w:num>
  <w:num w:numId="31">
    <w:abstractNumId w:val="34"/>
  </w:num>
  <w:num w:numId="32">
    <w:abstractNumId w:val="37"/>
  </w:num>
  <w:num w:numId="33">
    <w:abstractNumId w:val="26"/>
  </w:num>
  <w:num w:numId="34">
    <w:abstractNumId w:val="10"/>
  </w:num>
  <w:num w:numId="35">
    <w:abstractNumId w:val="35"/>
  </w:num>
  <w:num w:numId="36">
    <w:abstractNumId w:val="29"/>
  </w:num>
  <w:num w:numId="37">
    <w:abstractNumId w:val="27"/>
  </w:num>
  <w:num w:numId="38">
    <w:abstractNumId w:val="39"/>
  </w:num>
  <w:num w:numId="39">
    <w:abstractNumId w:val="1"/>
  </w:num>
  <w:num w:numId="40">
    <w:abstractNumId w:val="1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50"/>
    <w:rsid w:val="00010135"/>
    <w:rsid w:val="00012617"/>
    <w:rsid w:val="00013890"/>
    <w:rsid w:val="00014DCB"/>
    <w:rsid w:val="00023844"/>
    <w:rsid w:val="0003187B"/>
    <w:rsid w:val="0003353E"/>
    <w:rsid w:val="000352B8"/>
    <w:rsid w:val="000418F7"/>
    <w:rsid w:val="00054186"/>
    <w:rsid w:val="0005437B"/>
    <w:rsid w:val="000544C6"/>
    <w:rsid w:val="0005701A"/>
    <w:rsid w:val="000574C3"/>
    <w:rsid w:val="00060CA7"/>
    <w:rsid w:val="0006391D"/>
    <w:rsid w:val="000701A7"/>
    <w:rsid w:val="0007066F"/>
    <w:rsid w:val="000848C2"/>
    <w:rsid w:val="0008581B"/>
    <w:rsid w:val="00086113"/>
    <w:rsid w:val="000867A9"/>
    <w:rsid w:val="00091CAC"/>
    <w:rsid w:val="00091D2D"/>
    <w:rsid w:val="000931FB"/>
    <w:rsid w:val="00095B4A"/>
    <w:rsid w:val="00097535"/>
    <w:rsid w:val="0009773D"/>
    <w:rsid w:val="000A5ED6"/>
    <w:rsid w:val="000C3E82"/>
    <w:rsid w:val="000C5B96"/>
    <w:rsid w:val="000C6FCA"/>
    <w:rsid w:val="000D19E7"/>
    <w:rsid w:val="000D2A02"/>
    <w:rsid w:val="000D390E"/>
    <w:rsid w:val="000E2CC5"/>
    <w:rsid w:val="000F19F7"/>
    <w:rsid w:val="000F4499"/>
    <w:rsid w:val="000F6D26"/>
    <w:rsid w:val="001029D9"/>
    <w:rsid w:val="00105D27"/>
    <w:rsid w:val="00110677"/>
    <w:rsid w:val="00110CAE"/>
    <w:rsid w:val="00111183"/>
    <w:rsid w:val="00112328"/>
    <w:rsid w:val="00122A3E"/>
    <w:rsid w:val="00131ABC"/>
    <w:rsid w:val="00133AAE"/>
    <w:rsid w:val="00134023"/>
    <w:rsid w:val="00137B04"/>
    <w:rsid w:val="00143809"/>
    <w:rsid w:val="0014582B"/>
    <w:rsid w:val="00145C01"/>
    <w:rsid w:val="001465AB"/>
    <w:rsid w:val="0015641B"/>
    <w:rsid w:val="00161E02"/>
    <w:rsid w:val="0016332A"/>
    <w:rsid w:val="00163D0B"/>
    <w:rsid w:val="00171DE0"/>
    <w:rsid w:val="00171FA3"/>
    <w:rsid w:val="001835AF"/>
    <w:rsid w:val="00183EA2"/>
    <w:rsid w:val="0018658F"/>
    <w:rsid w:val="00190BB1"/>
    <w:rsid w:val="00190C9C"/>
    <w:rsid w:val="001975B5"/>
    <w:rsid w:val="001A1E9C"/>
    <w:rsid w:val="001A4286"/>
    <w:rsid w:val="001A5A67"/>
    <w:rsid w:val="001B1832"/>
    <w:rsid w:val="001B6A9A"/>
    <w:rsid w:val="001D040D"/>
    <w:rsid w:val="001D2634"/>
    <w:rsid w:val="001E1376"/>
    <w:rsid w:val="001E1922"/>
    <w:rsid w:val="001E47A9"/>
    <w:rsid w:val="001E7FBF"/>
    <w:rsid w:val="001F0C83"/>
    <w:rsid w:val="001F2FD3"/>
    <w:rsid w:val="001F5BA4"/>
    <w:rsid w:val="001F75C9"/>
    <w:rsid w:val="00202609"/>
    <w:rsid w:val="002029BF"/>
    <w:rsid w:val="0020455F"/>
    <w:rsid w:val="002068AF"/>
    <w:rsid w:val="00207763"/>
    <w:rsid w:val="00213D83"/>
    <w:rsid w:val="00223342"/>
    <w:rsid w:val="00224CE6"/>
    <w:rsid w:val="00227D44"/>
    <w:rsid w:val="00237F86"/>
    <w:rsid w:val="00243226"/>
    <w:rsid w:val="002442E5"/>
    <w:rsid w:val="00245846"/>
    <w:rsid w:val="002468FB"/>
    <w:rsid w:val="00251958"/>
    <w:rsid w:val="002554F2"/>
    <w:rsid w:val="00256E78"/>
    <w:rsid w:val="002578E5"/>
    <w:rsid w:val="00257A57"/>
    <w:rsid w:val="00261836"/>
    <w:rsid w:val="002656CB"/>
    <w:rsid w:val="00273267"/>
    <w:rsid w:val="0027506C"/>
    <w:rsid w:val="0027603F"/>
    <w:rsid w:val="00280885"/>
    <w:rsid w:val="00284269"/>
    <w:rsid w:val="00286230"/>
    <w:rsid w:val="00287F7D"/>
    <w:rsid w:val="002904CC"/>
    <w:rsid w:val="0029251F"/>
    <w:rsid w:val="002A2824"/>
    <w:rsid w:val="002A293B"/>
    <w:rsid w:val="002A3C9D"/>
    <w:rsid w:val="002A6DF0"/>
    <w:rsid w:val="002B0620"/>
    <w:rsid w:val="002B2B7A"/>
    <w:rsid w:val="002B4ED3"/>
    <w:rsid w:val="002C4E21"/>
    <w:rsid w:val="002D1828"/>
    <w:rsid w:val="002D1F59"/>
    <w:rsid w:val="002D56D9"/>
    <w:rsid w:val="002E00A6"/>
    <w:rsid w:val="002E34BE"/>
    <w:rsid w:val="002E78FA"/>
    <w:rsid w:val="002F1B0C"/>
    <w:rsid w:val="002F377E"/>
    <w:rsid w:val="002F4C41"/>
    <w:rsid w:val="002F4FC5"/>
    <w:rsid w:val="002F5F4D"/>
    <w:rsid w:val="00300036"/>
    <w:rsid w:val="00300C87"/>
    <w:rsid w:val="00302AEB"/>
    <w:rsid w:val="00307217"/>
    <w:rsid w:val="003140A9"/>
    <w:rsid w:val="00320583"/>
    <w:rsid w:val="00322B9F"/>
    <w:rsid w:val="00323050"/>
    <w:rsid w:val="003249B6"/>
    <w:rsid w:val="00325055"/>
    <w:rsid w:val="003306F0"/>
    <w:rsid w:val="00333D72"/>
    <w:rsid w:val="00341E9E"/>
    <w:rsid w:val="003425DC"/>
    <w:rsid w:val="00344EE3"/>
    <w:rsid w:val="00353A9C"/>
    <w:rsid w:val="00362B52"/>
    <w:rsid w:val="0036507D"/>
    <w:rsid w:val="00371841"/>
    <w:rsid w:val="0037448F"/>
    <w:rsid w:val="00382074"/>
    <w:rsid w:val="00382B50"/>
    <w:rsid w:val="00384264"/>
    <w:rsid w:val="003877A1"/>
    <w:rsid w:val="00387CCF"/>
    <w:rsid w:val="00391A7B"/>
    <w:rsid w:val="00391FB4"/>
    <w:rsid w:val="0039211C"/>
    <w:rsid w:val="003A1C87"/>
    <w:rsid w:val="003A5BE0"/>
    <w:rsid w:val="003B0D42"/>
    <w:rsid w:val="003B22B9"/>
    <w:rsid w:val="003C729B"/>
    <w:rsid w:val="003D61E3"/>
    <w:rsid w:val="003E087D"/>
    <w:rsid w:val="003E1A4C"/>
    <w:rsid w:val="003E62FF"/>
    <w:rsid w:val="003F18A4"/>
    <w:rsid w:val="003F3268"/>
    <w:rsid w:val="003F475C"/>
    <w:rsid w:val="003F5950"/>
    <w:rsid w:val="003F6C5C"/>
    <w:rsid w:val="00402FFB"/>
    <w:rsid w:val="0040363F"/>
    <w:rsid w:val="00404642"/>
    <w:rsid w:val="00405931"/>
    <w:rsid w:val="004113F8"/>
    <w:rsid w:val="004118E8"/>
    <w:rsid w:val="00413C2B"/>
    <w:rsid w:val="00416971"/>
    <w:rsid w:val="00417361"/>
    <w:rsid w:val="00420AB1"/>
    <w:rsid w:val="004220B2"/>
    <w:rsid w:val="004222B3"/>
    <w:rsid w:val="004241E7"/>
    <w:rsid w:val="00433148"/>
    <w:rsid w:val="00436575"/>
    <w:rsid w:val="00442E21"/>
    <w:rsid w:val="0044544B"/>
    <w:rsid w:val="0045394C"/>
    <w:rsid w:val="00457329"/>
    <w:rsid w:val="004576CF"/>
    <w:rsid w:val="0047061E"/>
    <w:rsid w:val="0047294E"/>
    <w:rsid w:val="00475532"/>
    <w:rsid w:val="00476777"/>
    <w:rsid w:val="00480B6F"/>
    <w:rsid w:val="0049454D"/>
    <w:rsid w:val="004957E1"/>
    <w:rsid w:val="0049598B"/>
    <w:rsid w:val="004962DD"/>
    <w:rsid w:val="0049653B"/>
    <w:rsid w:val="004A46C0"/>
    <w:rsid w:val="004A524C"/>
    <w:rsid w:val="004A57D7"/>
    <w:rsid w:val="004A647E"/>
    <w:rsid w:val="004A7F54"/>
    <w:rsid w:val="004B42B3"/>
    <w:rsid w:val="004B7ACB"/>
    <w:rsid w:val="004C33EB"/>
    <w:rsid w:val="004C3634"/>
    <w:rsid w:val="004C4221"/>
    <w:rsid w:val="004C431F"/>
    <w:rsid w:val="004C4F42"/>
    <w:rsid w:val="004D2D09"/>
    <w:rsid w:val="004D39C7"/>
    <w:rsid w:val="004D3CAF"/>
    <w:rsid w:val="004D49AD"/>
    <w:rsid w:val="004D4BBF"/>
    <w:rsid w:val="004D5786"/>
    <w:rsid w:val="004D6858"/>
    <w:rsid w:val="004D69F1"/>
    <w:rsid w:val="004E3A31"/>
    <w:rsid w:val="004E6994"/>
    <w:rsid w:val="004E78C3"/>
    <w:rsid w:val="004E7A85"/>
    <w:rsid w:val="004E7BAB"/>
    <w:rsid w:val="004F5CBE"/>
    <w:rsid w:val="004F6FAB"/>
    <w:rsid w:val="00500A4A"/>
    <w:rsid w:val="00500B3B"/>
    <w:rsid w:val="00502954"/>
    <w:rsid w:val="00502EF5"/>
    <w:rsid w:val="00502F31"/>
    <w:rsid w:val="00506833"/>
    <w:rsid w:val="00510E3B"/>
    <w:rsid w:val="005151BF"/>
    <w:rsid w:val="0052202E"/>
    <w:rsid w:val="0052337C"/>
    <w:rsid w:val="005305A9"/>
    <w:rsid w:val="00544360"/>
    <w:rsid w:val="00554279"/>
    <w:rsid w:val="00554AB6"/>
    <w:rsid w:val="00556C77"/>
    <w:rsid w:val="00565901"/>
    <w:rsid w:val="00565947"/>
    <w:rsid w:val="005662A3"/>
    <w:rsid w:val="00572562"/>
    <w:rsid w:val="00573DB0"/>
    <w:rsid w:val="00577950"/>
    <w:rsid w:val="0058028B"/>
    <w:rsid w:val="005861D1"/>
    <w:rsid w:val="0058775F"/>
    <w:rsid w:val="00587F51"/>
    <w:rsid w:val="00594127"/>
    <w:rsid w:val="005950AD"/>
    <w:rsid w:val="00596D0F"/>
    <w:rsid w:val="005A0B70"/>
    <w:rsid w:val="005A498A"/>
    <w:rsid w:val="005A7114"/>
    <w:rsid w:val="005B0FAA"/>
    <w:rsid w:val="005C5FC5"/>
    <w:rsid w:val="005C61D3"/>
    <w:rsid w:val="005D016E"/>
    <w:rsid w:val="005D4BE5"/>
    <w:rsid w:val="005D6CDD"/>
    <w:rsid w:val="005E5558"/>
    <w:rsid w:val="005E71B9"/>
    <w:rsid w:val="005E7C74"/>
    <w:rsid w:val="005E7F56"/>
    <w:rsid w:val="005F4368"/>
    <w:rsid w:val="005F54DD"/>
    <w:rsid w:val="00600174"/>
    <w:rsid w:val="0060177C"/>
    <w:rsid w:val="00602D4F"/>
    <w:rsid w:val="00602F69"/>
    <w:rsid w:val="006036F5"/>
    <w:rsid w:val="00603B77"/>
    <w:rsid w:val="0060777D"/>
    <w:rsid w:val="00607903"/>
    <w:rsid w:val="00610590"/>
    <w:rsid w:val="00612173"/>
    <w:rsid w:val="00614785"/>
    <w:rsid w:val="00614F03"/>
    <w:rsid w:val="0063066B"/>
    <w:rsid w:val="00634324"/>
    <w:rsid w:val="00637E29"/>
    <w:rsid w:val="006420FD"/>
    <w:rsid w:val="0064402A"/>
    <w:rsid w:val="00647654"/>
    <w:rsid w:val="006506DA"/>
    <w:rsid w:val="00654F59"/>
    <w:rsid w:val="00662FAB"/>
    <w:rsid w:val="00665064"/>
    <w:rsid w:val="0066635B"/>
    <w:rsid w:val="006706EC"/>
    <w:rsid w:val="0067107D"/>
    <w:rsid w:val="00672789"/>
    <w:rsid w:val="00673A4A"/>
    <w:rsid w:val="006776D4"/>
    <w:rsid w:val="00680C06"/>
    <w:rsid w:val="00684FAA"/>
    <w:rsid w:val="006853EB"/>
    <w:rsid w:val="006869CE"/>
    <w:rsid w:val="0068715A"/>
    <w:rsid w:val="006937BE"/>
    <w:rsid w:val="006A5D83"/>
    <w:rsid w:val="006A7A20"/>
    <w:rsid w:val="006B2A19"/>
    <w:rsid w:val="006B7E21"/>
    <w:rsid w:val="006C5677"/>
    <w:rsid w:val="006C5DB9"/>
    <w:rsid w:val="006C6724"/>
    <w:rsid w:val="006C72A1"/>
    <w:rsid w:val="006D1349"/>
    <w:rsid w:val="006D42B6"/>
    <w:rsid w:val="006E080D"/>
    <w:rsid w:val="006F134C"/>
    <w:rsid w:val="006F2B78"/>
    <w:rsid w:val="006F467E"/>
    <w:rsid w:val="006F77F4"/>
    <w:rsid w:val="00700CC3"/>
    <w:rsid w:val="00701394"/>
    <w:rsid w:val="0070200F"/>
    <w:rsid w:val="007071D8"/>
    <w:rsid w:val="00712B10"/>
    <w:rsid w:val="00713D6D"/>
    <w:rsid w:val="00714B9C"/>
    <w:rsid w:val="00716944"/>
    <w:rsid w:val="007228D2"/>
    <w:rsid w:val="00724728"/>
    <w:rsid w:val="0072509E"/>
    <w:rsid w:val="00726C8A"/>
    <w:rsid w:val="00726CCC"/>
    <w:rsid w:val="00727EF2"/>
    <w:rsid w:val="00730070"/>
    <w:rsid w:val="0073106F"/>
    <w:rsid w:val="00735CEC"/>
    <w:rsid w:val="007360B7"/>
    <w:rsid w:val="0073645A"/>
    <w:rsid w:val="007365C5"/>
    <w:rsid w:val="0074283B"/>
    <w:rsid w:val="007463F9"/>
    <w:rsid w:val="00750D52"/>
    <w:rsid w:val="007560BC"/>
    <w:rsid w:val="007570F1"/>
    <w:rsid w:val="00757D81"/>
    <w:rsid w:val="00761C9D"/>
    <w:rsid w:val="00762340"/>
    <w:rsid w:val="00770925"/>
    <w:rsid w:val="007723E3"/>
    <w:rsid w:val="007744B9"/>
    <w:rsid w:val="007749DA"/>
    <w:rsid w:val="00775F38"/>
    <w:rsid w:val="00777AF8"/>
    <w:rsid w:val="0078545C"/>
    <w:rsid w:val="00786BB1"/>
    <w:rsid w:val="00787E14"/>
    <w:rsid w:val="007904CA"/>
    <w:rsid w:val="007910E0"/>
    <w:rsid w:val="0079341B"/>
    <w:rsid w:val="00794049"/>
    <w:rsid w:val="00795C1C"/>
    <w:rsid w:val="007A0312"/>
    <w:rsid w:val="007A0C61"/>
    <w:rsid w:val="007A73E1"/>
    <w:rsid w:val="007B18D3"/>
    <w:rsid w:val="007B309A"/>
    <w:rsid w:val="007C02A6"/>
    <w:rsid w:val="007D2090"/>
    <w:rsid w:val="007D39DE"/>
    <w:rsid w:val="007E7221"/>
    <w:rsid w:val="007F3549"/>
    <w:rsid w:val="007F4C42"/>
    <w:rsid w:val="008039CE"/>
    <w:rsid w:val="00805A95"/>
    <w:rsid w:val="00806F63"/>
    <w:rsid w:val="00811E94"/>
    <w:rsid w:val="00814C31"/>
    <w:rsid w:val="00820B0B"/>
    <w:rsid w:val="00821F46"/>
    <w:rsid w:val="00823B21"/>
    <w:rsid w:val="00824BBF"/>
    <w:rsid w:val="00830990"/>
    <w:rsid w:val="00830BE3"/>
    <w:rsid w:val="008337FC"/>
    <w:rsid w:val="00833D94"/>
    <w:rsid w:val="00840B80"/>
    <w:rsid w:val="008453A2"/>
    <w:rsid w:val="00845640"/>
    <w:rsid w:val="00847F3B"/>
    <w:rsid w:val="0085270B"/>
    <w:rsid w:val="0085587F"/>
    <w:rsid w:val="00857CE3"/>
    <w:rsid w:val="008610AD"/>
    <w:rsid w:val="008620AA"/>
    <w:rsid w:val="00863CF3"/>
    <w:rsid w:val="008660E0"/>
    <w:rsid w:val="008661D6"/>
    <w:rsid w:val="00867165"/>
    <w:rsid w:val="00875841"/>
    <w:rsid w:val="00881777"/>
    <w:rsid w:val="00881C10"/>
    <w:rsid w:val="008901FC"/>
    <w:rsid w:val="00894608"/>
    <w:rsid w:val="008A31E4"/>
    <w:rsid w:val="008A3C76"/>
    <w:rsid w:val="008A56E5"/>
    <w:rsid w:val="008B19D8"/>
    <w:rsid w:val="008B1DD1"/>
    <w:rsid w:val="008B2FFE"/>
    <w:rsid w:val="008B45CC"/>
    <w:rsid w:val="008C4BC2"/>
    <w:rsid w:val="008D213F"/>
    <w:rsid w:val="008D4EFC"/>
    <w:rsid w:val="008D69B2"/>
    <w:rsid w:val="008D764E"/>
    <w:rsid w:val="008E4B4E"/>
    <w:rsid w:val="008E5FF4"/>
    <w:rsid w:val="008F0815"/>
    <w:rsid w:val="008F0830"/>
    <w:rsid w:val="008F10E1"/>
    <w:rsid w:val="008F156E"/>
    <w:rsid w:val="008F486E"/>
    <w:rsid w:val="008F758F"/>
    <w:rsid w:val="009005FF"/>
    <w:rsid w:val="00900B36"/>
    <w:rsid w:val="00904E39"/>
    <w:rsid w:val="00907E8B"/>
    <w:rsid w:val="0091514A"/>
    <w:rsid w:val="00915AF8"/>
    <w:rsid w:val="009209E8"/>
    <w:rsid w:val="009242DB"/>
    <w:rsid w:val="009248C7"/>
    <w:rsid w:val="009264D2"/>
    <w:rsid w:val="009268BB"/>
    <w:rsid w:val="00926A2A"/>
    <w:rsid w:val="00931136"/>
    <w:rsid w:val="00932221"/>
    <w:rsid w:val="00932AFF"/>
    <w:rsid w:val="009333EC"/>
    <w:rsid w:val="009340E2"/>
    <w:rsid w:val="009353E7"/>
    <w:rsid w:val="00936DF5"/>
    <w:rsid w:val="00937E0E"/>
    <w:rsid w:val="00940D1D"/>
    <w:rsid w:val="00944D3B"/>
    <w:rsid w:val="0094561D"/>
    <w:rsid w:val="00946E90"/>
    <w:rsid w:val="00950D47"/>
    <w:rsid w:val="00952656"/>
    <w:rsid w:val="0095495F"/>
    <w:rsid w:val="00954A34"/>
    <w:rsid w:val="009578D1"/>
    <w:rsid w:val="00961FE3"/>
    <w:rsid w:val="00962726"/>
    <w:rsid w:val="00963FF3"/>
    <w:rsid w:val="00965510"/>
    <w:rsid w:val="009725B6"/>
    <w:rsid w:val="00975B1B"/>
    <w:rsid w:val="00977763"/>
    <w:rsid w:val="00977BB8"/>
    <w:rsid w:val="00984EF6"/>
    <w:rsid w:val="00987431"/>
    <w:rsid w:val="009907A3"/>
    <w:rsid w:val="00991A9C"/>
    <w:rsid w:val="0099571E"/>
    <w:rsid w:val="00997165"/>
    <w:rsid w:val="009A0783"/>
    <w:rsid w:val="009A1090"/>
    <w:rsid w:val="009A11F1"/>
    <w:rsid w:val="009A15D8"/>
    <w:rsid w:val="009B01A8"/>
    <w:rsid w:val="009B0817"/>
    <w:rsid w:val="009B3DBE"/>
    <w:rsid w:val="009B3ECB"/>
    <w:rsid w:val="009B46B0"/>
    <w:rsid w:val="009C01BD"/>
    <w:rsid w:val="009C1030"/>
    <w:rsid w:val="009C2CE1"/>
    <w:rsid w:val="009C3E89"/>
    <w:rsid w:val="009C7912"/>
    <w:rsid w:val="009D3F53"/>
    <w:rsid w:val="009D45FF"/>
    <w:rsid w:val="009E114D"/>
    <w:rsid w:val="009E4718"/>
    <w:rsid w:val="009F4951"/>
    <w:rsid w:val="00A042F9"/>
    <w:rsid w:val="00A07724"/>
    <w:rsid w:val="00A12D84"/>
    <w:rsid w:val="00A145C1"/>
    <w:rsid w:val="00A434C1"/>
    <w:rsid w:val="00A46D26"/>
    <w:rsid w:val="00A56397"/>
    <w:rsid w:val="00A56FAE"/>
    <w:rsid w:val="00A60213"/>
    <w:rsid w:val="00A64F8C"/>
    <w:rsid w:val="00A65C34"/>
    <w:rsid w:val="00A66FE3"/>
    <w:rsid w:val="00A70032"/>
    <w:rsid w:val="00A736CF"/>
    <w:rsid w:val="00A7737A"/>
    <w:rsid w:val="00A82234"/>
    <w:rsid w:val="00A82D3A"/>
    <w:rsid w:val="00A84082"/>
    <w:rsid w:val="00A8680E"/>
    <w:rsid w:val="00A868A5"/>
    <w:rsid w:val="00A9538C"/>
    <w:rsid w:val="00A95676"/>
    <w:rsid w:val="00A95B0C"/>
    <w:rsid w:val="00A97F4B"/>
    <w:rsid w:val="00AA46C7"/>
    <w:rsid w:val="00AA617C"/>
    <w:rsid w:val="00AA7187"/>
    <w:rsid w:val="00AA7339"/>
    <w:rsid w:val="00AB1758"/>
    <w:rsid w:val="00AB78C6"/>
    <w:rsid w:val="00AC0096"/>
    <w:rsid w:val="00AC5DCA"/>
    <w:rsid w:val="00AD0BAA"/>
    <w:rsid w:val="00AD0F70"/>
    <w:rsid w:val="00AD31BB"/>
    <w:rsid w:val="00AD32BF"/>
    <w:rsid w:val="00AD4AFB"/>
    <w:rsid w:val="00AD4E69"/>
    <w:rsid w:val="00AD6636"/>
    <w:rsid w:val="00AD7A6A"/>
    <w:rsid w:val="00AE7DE8"/>
    <w:rsid w:val="00AF3738"/>
    <w:rsid w:val="00AF5950"/>
    <w:rsid w:val="00B015D7"/>
    <w:rsid w:val="00B030AA"/>
    <w:rsid w:val="00B154A4"/>
    <w:rsid w:val="00B174D7"/>
    <w:rsid w:val="00B20074"/>
    <w:rsid w:val="00B2284A"/>
    <w:rsid w:val="00B248EA"/>
    <w:rsid w:val="00B25847"/>
    <w:rsid w:val="00B25EED"/>
    <w:rsid w:val="00B271E7"/>
    <w:rsid w:val="00B33E73"/>
    <w:rsid w:val="00B370D5"/>
    <w:rsid w:val="00B3755A"/>
    <w:rsid w:val="00B4283D"/>
    <w:rsid w:val="00B437B3"/>
    <w:rsid w:val="00B51078"/>
    <w:rsid w:val="00B51F3E"/>
    <w:rsid w:val="00B52780"/>
    <w:rsid w:val="00B55F5E"/>
    <w:rsid w:val="00B579A6"/>
    <w:rsid w:val="00B63C9C"/>
    <w:rsid w:val="00B71A46"/>
    <w:rsid w:val="00B72C9B"/>
    <w:rsid w:val="00B767BE"/>
    <w:rsid w:val="00B80429"/>
    <w:rsid w:val="00B85BE7"/>
    <w:rsid w:val="00B86ED0"/>
    <w:rsid w:val="00B874FC"/>
    <w:rsid w:val="00B9264D"/>
    <w:rsid w:val="00B933BB"/>
    <w:rsid w:val="00B94FDD"/>
    <w:rsid w:val="00BA44AA"/>
    <w:rsid w:val="00BA7DDA"/>
    <w:rsid w:val="00BB21FF"/>
    <w:rsid w:val="00BC0DB5"/>
    <w:rsid w:val="00BC3DA0"/>
    <w:rsid w:val="00BC4048"/>
    <w:rsid w:val="00BC486E"/>
    <w:rsid w:val="00BC69EB"/>
    <w:rsid w:val="00BC6A6A"/>
    <w:rsid w:val="00BD5318"/>
    <w:rsid w:val="00BE5502"/>
    <w:rsid w:val="00BF10D8"/>
    <w:rsid w:val="00BF373D"/>
    <w:rsid w:val="00BF46B5"/>
    <w:rsid w:val="00BF5FD0"/>
    <w:rsid w:val="00BF6DD9"/>
    <w:rsid w:val="00C03210"/>
    <w:rsid w:val="00C06BC1"/>
    <w:rsid w:val="00C06EFF"/>
    <w:rsid w:val="00C1025A"/>
    <w:rsid w:val="00C11EBB"/>
    <w:rsid w:val="00C14BCC"/>
    <w:rsid w:val="00C15E39"/>
    <w:rsid w:val="00C15ECA"/>
    <w:rsid w:val="00C166AB"/>
    <w:rsid w:val="00C176FC"/>
    <w:rsid w:val="00C21927"/>
    <w:rsid w:val="00C23B4A"/>
    <w:rsid w:val="00C2659D"/>
    <w:rsid w:val="00C26ACC"/>
    <w:rsid w:val="00C30E96"/>
    <w:rsid w:val="00C32BD3"/>
    <w:rsid w:val="00C33BCF"/>
    <w:rsid w:val="00C35899"/>
    <w:rsid w:val="00C43172"/>
    <w:rsid w:val="00C50355"/>
    <w:rsid w:val="00C50488"/>
    <w:rsid w:val="00C57C47"/>
    <w:rsid w:val="00C61497"/>
    <w:rsid w:val="00C66684"/>
    <w:rsid w:val="00C67D85"/>
    <w:rsid w:val="00C71F2E"/>
    <w:rsid w:val="00C75C5D"/>
    <w:rsid w:val="00C8446C"/>
    <w:rsid w:val="00C915B5"/>
    <w:rsid w:val="00C92A61"/>
    <w:rsid w:val="00C95B2D"/>
    <w:rsid w:val="00C96813"/>
    <w:rsid w:val="00CA093F"/>
    <w:rsid w:val="00CA1085"/>
    <w:rsid w:val="00CA3CBF"/>
    <w:rsid w:val="00CA4344"/>
    <w:rsid w:val="00CB447E"/>
    <w:rsid w:val="00CB63D9"/>
    <w:rsid w:val="00CC2E3B"/>
    <w:rsid w:val="00CC71B5"/>
    <w:rsid w:val="00CD0E17"/>
    <w:rsid w:val="00CD4911"/>
    <w:rsid w:val="00CD5AE5"/>
    <w:rsid w:val="00CE2BEE"/>
    <w:rsid w:val="00CE2CCE"/>
    <w:rsid w:val="00CF1074"/>
    <w:rsid w:val="00CF170F"/>
    <w:rsid w:val="00CF38D2"/>
    <w:rsid w:val="00CF50A5"/>
    <w:rsid w:val="00CF6858"/>
    <w:rsid w:val="00CF7A09"/>
    <w:rsid w:val="00D01A73"/>
    <w:rsid w:val="00D02575"/>
    <w:rsid w:val="00D06600"/>
    <w:rsid w:val="00D0678A"/>
    <w:rsid w:val="00D06807"/>
    <w:rsid w:val="00D23E09"/>
    <w:rsid w:val="00D3081A"/>
    <w:rsid w:val="00D313AC"/>
    <w:rsid w:val="00D31916"/>
    <w:rsid w:val="00D31B99"/>
    <w:rsid w:val="00D33915"/>
    <w:rsid w:val="00D3460E"/>
    <w:rsid w:val="00D35E9E"/>
    <w:rsid w:val="00D44FF0"/>
    <w:rsid w:val="00D50BA5"/>
    <w:rsid w:val="00D52DBB"/>
    <w:rsid w:val="00D575BD"/>
    <w:rsid w:val="00D60ADF"/>
    <w:rsid w:val="00D6139A"/>
    <w:rsid w:val="00D6213F"/>
    <w:rsid w:val="00D62ADC"/>
    <w:rsid w:val="00D6500E"/>
    <w:rsid w:val="00D7465F"/>
    <w:rsid w:val="00D747DD"/>
    <w:rsid w:val="00D8250C"/>
    <w:rsid w:val="00D83B44"/>
    <w:rsid w:val="00D87330"/>
    <w:rsid w:val="00D87986"/>
    <w:rsid w:val="00D90805"/>
    <w:rsid w:val="00D94DA4"/>
    <w:rsid w:val="00D95534"/>
    <w:rsid w:val="00DA0E46"/>
    <w:rsid w:val="00DA5881"/>
    <w:rsid w:val="00DA60D2"/>
    <w:rsid w:val="00DB106E"/>
    <w:rsid w:val="00DB6146"/>
    <w:rsid w:val="00DB6E3C"/>
    <w:rsid w:val="00DC457E"/>
    <w:rsid w:val="00DC7A0D"/>
    <w:rsid w:val="00DD61B8"/>
    <w:rsid w:val="00DE454B"/>
    <w:rsid w:val="00DF0D41"/>
    <w:rsid w:val="00DF22E1"/>
    <w:rsid w:val="00DF6371"/>
    <w:rsid w:val="00DF67B4"/>
    <w:rsid w:val="00E0086D"/>
    <w:rsid w:val="00E01A12"/>
    <w:rsid w:val="00E02DB3"/>
    <w:rsid w:val="00E06637"/>
    <w:rsid w:val="00E11D77"/>
    <w:rsid w:val="00E17B09"/>
    <w:rsid w:val="00E2174D"/>
    <w:rsid w:val="00E236F5"/>
    <w:rsid w:val="00E27479"/>
    <w:rsid w:val="00E306E7"/>
    <w:rsid w:val="00E4181F"/>
    <w:rsid w:val="00E41A23"/>
    <w:rsid w:val="00E42E71"/>
    <w:rsid w:val="00E56109"/>
    <w:rsid w:val="00E56E2F"/>
    <w:rsid w:val="00E65CF9"/>
    <w:rsid w:val="00E72B24"/>
    <w:rsid w:val="00E72D78"/>
    <w:rsid w:val="00E7506F"/>
    <w:rsid w:val="00E75594"/>
    <w:rsid w:val="00E86CDB"/>
    <w:rsid w:val="00E86F98"/>
    <w:rsid w:val="00E91452"/>
    <w:rsid w:val="00E921F5"/>
    <w:rsid w:val="00E954A1"/>
    <w:rsid w:val="00E96262"/>
    <w:rsid w:val="00EA1450"/>
    <w:rsid w:val="00EB1081"/>
    <w:rsid w:val="00EB12D3"/>
    <w:rsid w:val="00EB53F1"/>
    <w:rsid w:val="00EC2DF9"/>
    <w:rsid w:val="00EC6EE3"/>
    <w:rsid w:val="00ED2028"/>
    <w:rsid w:val="00ED5511"/>
    <w:rsid w:val="00ED5B3E"/>
    <w:rsid w:val="00ED6F0F"/>
    <w:rsid w:val="00EE3EDA"/>
    <w:rsid w:val="00EE4AB5"/>
    <w:rsid w:val="00EE5B50"/>
    <w:rsid w:val="00EF18EC"/>
    <w:rsid w:val="00EF3EE5"/>
    <w:rsid w:val="00EF6CAD"/>
    <w:rsid w:val="00F010A8"/>
    <w:rsid w:val="00F04C3D"/>
    <w:rsid w:val="00F04CC1"/>
    <w:rsid w:val="00F06E84"/>
    <w:rsid w:val="00F07D14"/>
    <w:rsid w:val="00F116AC"/>
    <w:rsid w:val="00F15A9D"/>
    <w:rsid w:val="00F21BE0"/>
    <w:rsid w:val="00F22111"/>
    <w:rsid w:val="00F272BC"/>
    <w:rsid w:val="00F31FC6"/>
    <w:rsid w:val="00F36F82"/>
    <w:rsid w:val="00F416F1"/>
    <w:rsid w:val="00F44F32"/>
    <w:rsid w:val="00F45351"/>
    <w:rsid w:val="00F473E4"/>
    <w:rsid w:val="00F47C01"/>
    <w:rsid w:val="00F502FB"/>
    <w:rsid w:val="00F53773"/>
    <w:rsid w:val="00F55F69"/>
    <w:rsid w:val="00F5643B"/>
    <w:rsid w:val="00F619A3"/>
    <w:rsid w:val="00F63830"/>
    <w:rsid w:val="00F65397"/>
    <w:rsid w:val="00F71130"/>
    <w:rsid w:val="00F72DCE"/>
    <w:rsid w:val="00F76DA0"/>
    <w:rsid w:val="00F81FE4"/>
    <w:rsid w:val="00F830F4"/>
    <w:rsid w:val="00F84247"/>
    <w:rsid w:val="00F87884"/>
    <w:rsid w:val="00F91B04"/>
    <w:rsid w:val="00F91DD3"/>
    <w:rsid w:val="00F95D29"/>
    <w:rsid w:val="00F96A93"/>
    <w:rsid w:val="00F97447"/>
    <w:rsid w:val="00FA0D40"/>
    <w:rsid w:val="00FA45C7"/>
    <w:rsid w:val="00FA51B2"/>
    <w:rsid w:val="00FA68CF"/>
    <w:rsid w:val="00FA721B"/>
    <w:rsid w:val="00FA7A4B"/>
    <w:rsid w:val="00FC197C"/>
    <w:rsid w:val="00FC3DED"/>
    <w:rsid w:val="00FC5409"/>
    <w:rsid w:val="00FC656B"/>
    <w:rsid w:val="00FE3C9C"/>
    <w:rsid w:val="00FE4053"/>
    <w:rsid w:val="00FE4CCF"/>
    <w:rsid w:val="00FE7DED"/>
    <w:rsid w:val="00FF0B64"/>
    <w:rsid w:val="00FF0FD7"/>
    <w:rsid w:val="00FF5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60E"/>
    <w:pPr>
      <w:ind w:left="720"/>
      <w:contextualSpacing/>
    </w:pPr>
  </w:style>
  <w:style w:type="paragraph" w:styleId="Encabezado">
    <w:name w:val="header"/>
    <w:basedOn w:val="Normal"/>
    <w:link w:val="EncabezadoCar"/>
    <w:uiPriority w:val="99"/>
    <w:unhideWhenUsed/>
    <w:rsid w:val="00AE7D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DE8"/>
  </w:style>
  <w:style w:type="paragraph" w:styleId="Piedepgina">
    <w:name w:val="footer"/>
    <w:basedOn w:val="Normal"/>
    <w:link w:val="PiedepginaCar"/>
    <w:uiPriority w:val="99"/>
    <w:unhideWhenUsed/>
    <w:rsid w:val="00AE7D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DE8"/>
  </w:style>
  <w:style w:type="paragraph" w:styleId="Textonotapie">
    <w:name w:val="footnote text"/>
    <w:basedOn w:val="Normal"/>
    <w:link w:val="TextonotapieCar"/>
    <w:uiPriority w:val="99"/>
    <w:unhideWhenUsed/>
    <w:rsid w:val="00CF170F"/>
    <w:pPr>
      <w:spacing w:after="0" w:line="240" w:lineRule="auto"/>
    </w:pPr>
    <w:rPr>
      <w:sz w:val="20"/>
      <w:szCs w:val="20"/>
    </w:rPr>
  </w:style>
  <w:style w:type="character" w:customStyle="1" w:styleId="TextonotapieCar">
    <w:name w:val="Texto nota pie Car"/>
    <w:basedOn w:val="Fuentedeprrafopredeter"/>
    <w:link w:val="Textonotapie"/>
    <w:uiPriority w:val="99"/>
    <w:rsid w:val="00CF170F"/>
    <w:rPr>
      <w:sz w:val="20"/>
      <w:szCs w:val="20"/>
    </w:rPr>
  </w:style>
  <w:style w:type="character" w:styleId="Refdenotaalpie">
    <w:name w:val="footnote reference"/>
    <w:basedOn w:val="Fuentedeprrafopredeter"/>
    <w:uiPriority w:val="99"/>
    <w:semiHidden/>
    <w:unhideWhenUsed/>
    <w:rsid w:val="00CF170F"/>
    <w:rPr>
      <w:vertAlign w:val="superscript"/>
    </w:rPr>
  </w:style>
  <w:style w:type="character" w:styleId="Hipervnculo">
    <w:name w:val="Hyperlink"/>
    <w:basedOn w:val="Fuentedeprrafopredeter"/>
    <w:uiPriority w:val="99"/>
    <w:unhideWhenUsed/>
    <w:rsid w:val="00750D52"/>
    <w:rPr>
      <w:color w:val="0563C1" w:themeColor="hyperlink"/>
      <w:u w:val="single"/>
    </w:rPr>
  </w:style>
  <w:style w:type="paragraph" w:styleId="NormalWeb">
    <w:name w:val="Normal (Web)"/>
    <w:basedOn w:val="Normal"/>
    <w:uiPriority w:val="99"/>
    <w:semiHidden/>
    <w:unhideWhenUsed/>
    <w:rsid w:val="000E2CC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B375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5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60E"/>
    <w:pPr>
      <w:ind w:left="720"/>
      <w:contextualSpacing/>
    </w:pPr>
  </w:style>
  <w:style w:type="paragraph" w:styleId="Encabezado">
    <w:name w:val="header"/>
    <w:basedOn w:val="Normal"/>
    <w:link w:val="EncabezadoCar"/>
    <w:uiPriority w:val="99"/>
    <w:unhideWhenUsed/>
    <w:rsid w:val="00AE7D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DE8"/>
  </w:style>
  <w:style w:type="paragraph" w:styleId="Piedepgina">
    <w:name w:val="footer"/>
    <w:basedOn w:val="Normal"/>
    <w:link w:val="PiedepginaCar"/>
    <w:uiPriority w:val="99"/>
    <w:unhideWhenUsed/>
    <w:rsid w:val="00AE7D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DE8"/>
  </w:style>
  <w:style w:type="paragraph" w:styleId="Textonotapie">
    <w:name w:val="footnote text"/>
    <w:basedOn w:val="Normal"/>
    <w:link w:val="TextonotapieCar"/>
    <w:uiPriority w:val="99"/>
    <w:unhideWhenUsed/>
    <w:rsid w:val="00CF170F"/>
    <w:pPr>
      <w:spacing w:after="0" w:line="240" w:lineRule="auto"/>
    </w:pPr>
    <w:rPr>
      <w:sz w:val="20"/>
      <w:szCs w:val="20"/>
    </w:rPr>
  </w:style>
  <w:style w:type="character" w:customStyle="1" w:styleId="TextonotapieCar">
    <w:name w:val="Texto nota pie Car"/>
    <w:basedOn w:val="Fuentedeprrafopredeter"/>
    <w:link w:val="Textonotapie"/>
    <w:uiPriority w:val="99"/>
    <w:rsid w:val="00CF170F"/>
    <w:rPr>
      <w:sz w:val="20"/>
      <w:szCs w:val="20"/>
    </w:rPr>
  </w:style>
  <w:style w:type="character" w:styleId="Refdenotaalpie">
    <w:name w:val="footnote reference"/>
    <w:basedOn w:val="Fuentedeprrafopredeter"/>
    <w:uiPriority w:val="99"/>
    <w:semiHidden/>
    <w:unhideWhenUsed/>
    <w:rsid w:val="00CF170F"/>
    <w:rPr>
      <w:vertAlign w:val="superscript"/>
    </w:rPr>
  </w:style>
  <w:style w:type="character" w:styleId="Hipervnculo">
    <w:name w:val="Hyperlink"/>
    <w:basedOn w:val="Fuentedeprrafopredeter"/>
    <w:uiPriority w:val="99"/>
    <w:unhideWhenUsed/>
    <w:rsid w:val="00750D52"/>
    <w:rPr>
      <w:color w:val="0563C1" w:themeColor="hyperlink"/>
      <w:u w:val="single"/>
    </w:rPr>
  </w:style>
  <w:style w:type="paragraph" w:styleId="NormalWeb">
    <w:name w:val="Normal (Web)"/>
    <w:basedOn w:val="Normal"/>
    <w:uiPriority w:val="99"/>
    <w:semiHidden/>
    <w:unhideWhenUsed/>
    <w:rsid w:val="000E2CC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B375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7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3839">
      <w:bodyDiv w:val="1"/>
      <w:marLeft w:val="0"/>
      <w:marRight w:val="0"/>
      <w:marTop w:val="0"/>
      <w:marBottom w:val="0"/>
      <w:divBdr>
        <w:top w:val="none" w:sz="0" w:space="0" w:color="auto"/>
        <w:left w:val="none" w:sz="0" w:space="0" w:color="auto"/>
        <w:bottom w:val="none" w:sz="0" w:space="0" w:color="auto"/>
        <w:right w:val="none" w:sz="0" w:space="0" w:color="auto"/>
      </w:divBdr>
      <w:divsChild>
        <w:div w:id="323820430">
          <w:marLeft w:val="0"/>
          <w:marRight w:val="0"/>
          <w:marTop w:val="0"/>
          <w:marBottom w:val="0"/>
          <w:divBdr>
            <w:top w:val="none" w:sz="0" w:space="0" w:color="auto"/>
            <w:left w:val="none" w:sz="0" w:space="0" w:color="auto"/>
            <w:bottom w:val="none" w:sz="0" w:space="0" w:color="auto"/>
            <w:right w:val="none" w:sz="0" w:space="0" w:color="auto"/>
          </w:divBdr>
          <w:divsChild>
            <w:div w:id="918052881">
              <w:marLeft w:val="0"/>
              <w:marRight w:val="150"/>
              <w:marTop w:val="0"/>
              <w:marBottom w:val="0"/>
              <w:divBdr>
                <w:top w:val="none" w:sz="0" w:space="0" w:color="auto"/>
                <w:left w:val="none" w:sz="0" w:space="0" w:color="auto"/>
                <w:bottom w:val="none" w:sz="0" w:space="0" w:color="auto"/>
                <w:right w:val="none" w:sz="0" w:space="0" w:color="auto"/>
              </w:divBdr>
              <w:divsChild>
                <w:div w:id="1817455363">
                  <w:marLeft w:val="0"/>
                  <w:marRight w:val="0"/>
                  <w:marTop w:val="0"/>
                  <w:marBottom w:val="0"/>
                  <w:divBdr>
                    <w:top w:val="none" w:sz="0" w:space="0" w:color="auto"/>
                    <w:left w:val="none" w:sz="0" w:space="0" w:color="auto"/>
                    <w:bottom w:val="none" w:sz="0" w:space="0" w:color="auto"/>
                    <w:right w:val="none" w:sz="0" w:space="0" w:color="auto"/>
                  </w:divBdr>
                  <w:divsChild>
                    <w:div w:id="801726463">
                      <w:marLeft w:val="0"/>
                      <w:marRight w:val="105"/>
                      <w:marTop w:val="0"/>
                      <w:marBottom w:val="0"/>
                      <w:divBdr>
                        <w:top w:val="none" w:sz="0" w:space="0" w:color="auto"/>
                        <w:left w:val="none" w:sz="0" w:space="0" w:color="auto"/>
                        <w:bottom w:val="none" w:sz="0" w:space="0" w:color="auto"/>
                        <w:right w:val="none" w:sz="0" w:space="0" w:color="auto"/>
                      </w:divBdr>
                      <w:divsChild>
                        <w:div w:id="13701024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28838342">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7">
          <w:marLeft w:val="0"/>
          <w:marRight w:val="0"/>
          <w:marTop w:val="0"/>
          <w:marBottom w:val="0"/>
          <w:divBdr>
            <w:top w:val="none" w:sz="0" w:space="0" w:color="auto"/>
            <w:left w:val="none" w:sz="0" w:space="0" w:color="auto"/>
            <w:bottom w:val="none" w:sz="0" w:space="0" w:color="auto"/>
            <w:right w:val="none" w:sz="0" w:space="0" w:color="auto"/>
          </w:divBdr>
          <w:divsChild>
            <w:div w:id="1866138667">
              <w:marLeft w:val="0"/>
              <w:marRight w:val="150"/>
              <w:marTop w:val="0"/>
              <w:marBottom w:val="0"/>
              <w:divBdr>
                <w:top w:val="none" w:sz="0" w:space="0" w:color="auto"/>
                <w:left w:val="none" w:sz="0" w:space="0" w:color="auto"/>
                <w:bottom w:val="none" w:sz="0" w:space="0" w:color="auto"/>
                <w:right w:val="none" w:sz="0" w:space="0" w:color="auto"/>
              </w:divBdr>
              <w:divsChild>
                <w:div w:id="1455521510">
                  <w:marLeft w:val="0"/>
                  <w:marRight w:val="0"/>
                  <w:marTop w:val="0"/>
                  <w:marBottom w:val="0"/>
                  <w:divBdr>
                    <w:top w:val="none" w:sz="0" w:space="0" w:color="auto"/>
                    <w:left w:val="none" w:sz="0" w:space="0" w:color="auto"/>
                    <w:bottom w:val="none" w:sz="0" w:space="0" w:color="auto"/>
                    <w:right w:val="none" w:sz="0" w:space="0" w:color="auto"/>
                  </w:divBdr>
                  <w:divsChild>
                    <w:div w:id="1056120509">
                      <w:marLeft w:val="0"/>
                      <w:marRight w:val="105"/>
                      <w:marTop w:val="0"/>
                      <w:marBottom w:val="0"/>
                      <w:divBdr>
                        <w:top w:val="none" w:sz="0" w:space="0" w:color="auto"/>
                        <w:left w:val="none" w:sz="0" w:space="0" w:color="auto"/>
                        <w:bottom w:val="none" w:sz="0" w:space="0" w:color="auto"/>
                        <w:right w:val="none" w:sz="0" w:space="0" w:color="auto"/>
                      </w:divBdr>
                      <w:divsChild>
                        <w:div w:id="1642492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96477505">
      <w:bodyDiv w:val="1"/>
      <w:marLeft w:val="0"/>
      <w:marRight w:val="0"/>
      <w:marTop w:val="0"/>
      <w:marBottom w:val="0"/>
      <w:divBdr>
        <w:top w:val="none" w:sz="0" w:space="0" w:color="auto"/>
        <w:left w:val="none" w:sz="0" w:space="0" w:color="auto"/>
        <w:bottom w:val="none" w:sz="0" w:space="0" w:color="auto"/>
        <w:right w:val="none" w:sz="0" w:space="0" w:color="auto"/>
      </w:divBdr>
      <w:divsChild>
        <w:div w:id="695811384">
          <w:marLeft w:val="0"/>
          <w:marRight w:val="0"/>
          <w:marTop w:val="0"/>
          <w:marBottom w:val="0"/>
          <w:divBdr>
            <w:top w:val="none" w:sz="0" w:space="0" w:color="auto"/>
            <w:left w:val="none" w:sz="0" w:space="0" w:color="auto"/>
            <w:bottom w:val="none" w:sz="0" w:space="0" w:color="auto"/>
            <w:right w:val="none" w:sz="0" w:space="0" w:color="auto"/>
          </w:divBdr>
          <w:divsChild>
            <w:div w:id="946161483">
              <w:marLeft w:val="0"/>
              <w:marRight w:val="150"/>
              <w:marTop w:val="0"/>
              <w:marBottom w:val="0"/>
              <w:divBdr>
                <w:top w:val="none" w:sz="0" w:space="0" w:color="auto"/>
                <w:left w:val="none" w:sz="0" w:space="0" w:color="auto"/>
                <w:bottom w:val="none" w:sz="0" w:space="0" w:color="auto"/>
                <w:right w:val="none" w:sz="0" w:space="0" w:color="auto"/>
              </w:divBdr>
              <w:divsChild>
                <w:div w:id="1249390150">
                  <w:marLeft w:val="0"/>
                  <w:marRight w:val="0"/>
                  <w:marTop w:val="0"/>
                  <w:marBottom w:val="0"/>
                  <w:divBdr>
                    <w:top w:val="none" w:sz="0" w:space="0" w:color="auto"/>
                    <w:left w:val="none" w:sz="0" w:space="0" w:color="auto"/>
                    <w:bottom w:val="none" w:sz="0" w:space="0" w:color="auto"/>
                    <w:right w:val="none" w:sz="0" w:space="0" w:color="auto"/>
                  </w:divBdr>
                  <w:divsChild>
                    <w:div w:id="823737006">
                      <w:marLeft w:val="0"/>
                      <w:marRight w:val="105"/>
                      <w:marTop w:val="0"/>
                      <w:marBottom w:val="0"/>
                      <w:divBdr>
                        <w:top w:val="none" w:sz="0" w:space="0" w:color="auto"/>
                        <w:left w:val="none" w:sz="0" w:space="0" w:color="auto"/>
                        <w:bottom w:val="none" w:sz="0" w:space="0" w:color="auto"/>
                        <w:right w:val="none" w:sz="0" w:space="0" w:color="auto"/>
                      </w:divBdr>
                      <w:divsChild>
                        <w:div w:id="20387762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9410524">
      <w:bodyDiv w:val="1"/>
      <w:marLeft w:val="0"/>
      <w:marRight w:val="0"/>
      <w:marTop w:val="0"/>
      <w:marBottom w:val="0"/>
      <w:divBdr>
        <w:top w:val="none" w:sz="0" w:space="0" w:color="auto"/>
        <w:left w:val="none" w:sz="0" w:space="0" w:color="auto"/>
        <w:bottom w:val="none" w:sz="0" w:space="0" w:color="auto"/>
        <w:right w:val="none" w:sz="0" w:space="0" w:color="auto"/>
      </w:divBdr>
      <w:divsChild>
        <w:div w:id="692195054">
          <w:marLeft w:val="634"/>
          <w:marRight w:val="0"/>
          <w:marTop w:val="200"/>
          <w:marBottom w:val="0"/>
          <w:divBdr>
            <w:top w:val="none" w:sz="0" w:space="0" w:color="auto"/>
            <w:left w:val="none" w:sz="0" w:space="0" w:color="auto"/>
            <w:bottom w:val="none" w:sz="0" w:space="0" w:color="auto"/>
            <w:right w:val="none" w:sz="0" w:space="0" w:color="auto"/>
          </w:divBdr>
        </w:div>
        <w:div w:id="1373730112">
          <w:marLeft w:val="634"/>
          <w:marRight w:val="0"/>
          <w:marTop w:val="200"/>
          <w:marBottom w:val="0"/>
          <w:divBdr>
            <w:top w:val="none" w:sz="0" w:space="0" w:color="auto"/>
            <w:left w:val="none" w:sz="0" w:space="0" w:color="auto"/>
            <w:bottom w:val="none" w:sz="0" w:space="0" w:color="auto"/>
            <w:right w:val="none" w:sz="0" w:space="0" w:color="auto"/>
          </w:divBdr>
        </w:div>
        <w:div w:id="400493835">
          <w:marLeft w:val="634"/>
          <w:marRight w:val="0"/>
          <w:marTop w:val="200"/>
          <w:marBottom w:val="0"/>
          <w:divBdr>
            <w:top w:val="none" w:sz="0" w:space="0" w:color="auto"/>
            <w:left w:val="none" w:sz="0" w:space="0" w:color="auto"/>
            <w:bottom w:val="none" w:sz="0" w:space="0" w:color="auto"/>
            <w:right w:val="none" w:sz="0" w:space="0" w:color="auto"/>
          </w:divBdr>
        </w:div>
        <w:div w:id="201866788">
          <w:marLeft w:val="634"/>
          <w:marRight w:val="0"/>
          <w:marTop w:val="200"/>
          <w:marBottom w:val="0"/>
          <w:divBdr>
            <w:top w:val="none" w:sz="0" w:space="0" w:color="auto"/>
            <w:left w:val="none" w:sz="0" w:space="0" w:color="auto"/>
            <w:bottom w:val="none" w:sz="0" w:space="0" w:color="auto"/>
            <w:right w:val="none" w:sz="0" w:space="0" w:color="auto"/>
          </w:divBdr>
        </w:div>
        <w:div w:id="858197950">
          <w:marLeft w:val="63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unesco.org/es/ev.php" TargetMode="External"/><Relationship Id="rId18" Type="http://schemas.openxmlformats.org/officeDocument/2006/relationships/hyperlink" Target="http://www.consilium.europa.eu/es/press/press-releases/2017/12/01/the-mid-term-evaluation-of-the-copernicus-programme-council-adopts-conclusions/pdf" TargetMode="External"/><Relationship Id="rId26" Type="http://schemas.openxmlformats.org/officeDocument/2006/relationships/hyperlink" Target="http://www.space-settlement-institute.org/articles" TargetMode="External"/><Relationship Id="rId3" Type="http://schemas.openxmlformats.org/officeDocument/2006/relationships/styles" Target="styles.xml"/><Relationship Id="rId21" Type="http://schemas.openxmlformats.org/officeDocument/2006/relationships/hyperlink" Target="https://www.enaire.es/cielo_%C3%BAnico_europeo" TargetMode="External"/><Relationship Id="rId7" Type="http://schemas.openxmlformats.org/officeDocument/2006/relationships/footnotes" Target="footnotes.xml"/><Relationship Id="rId12" Type="http://schemas.openxmlformats.org/officeDocument/2006/relationships/hyperlink" Target="http://law.leiden.edu/organisation/publiclaw/iiasl/working-group/the-hague-space-resources-governance-working-group.html" TargetMode="External"/><Relationship Id="rId17" Type="http://schemas.openxmlformats.org/officeDocument/2006/relationships/hyperlink" Target="https://www.congress.gov/114/plaws/publ90/PLAW-114publ90.pdf" TargetMode="External"/><Relationship Id="rId25" Type="http://schemas.openxmlformats.org/officeDocument/2006/relationships/hyperlink" Target="http://www.lamoncloa.gob.es/presidente/actividades/Documents/2017/Declaracio%CC%81n%20de%20Roma.pdf" TargetMode="External"/><Relationship Id="rId2" Type="http://schemas.openxmlformats.org/officeDocument/2006/relationships/numbering" Target="numbering.xml"/><Relationship Id="rId16" Type="http://schemas.openxmlformats.org/officeDocument/2006/relationships/hyperlink" Target="http://www.cartadelatierra.com" TargetMode="External"/><Relationship Id="rId20" Type="http://schemas.openxmlformats.org/officeDocument/2006/relationships/hyperlink" Target="https://www.eda.europa.eu/info-hub/press-centre/latest-news/2017/06/16/14-eda-member-states-to-pool-share-govsatcom-capabilities" TargetMode="External"/><Relationship Id="rId29" Type="http://schemas.openxmlformats.org/officeDocument/2006/relationships/hyperlink" Target="http://www.un.org/millenniumgoals/pdf/post_2015_untt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gim.un.org/knowledgebase/attachment36.aspx" TargetMode="External"/><Relationship Id="rId24" Type="http://schemas.openxmlformats.org/officeDocument/2006/relationships/hyperlink" Target="http://www.ieim.uqam.c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fese.com/img/revistas/revista50/prefutesp.pdf" TargetMode="External"/><Relationship Id="rId23" Type="http://schemas.openxmlformats.org/officeDocument/2006/relationships/hyperlink" Target="http://www.hq.nasa.gov/officcecodei" TargetMode="External"/><Relationship Id="rId28" Type="http://schemas.openxmlformats.org/officeDocument/2006/relationships/hyperlink" Target="http://www.unoosa.org/documents/pdf/spacelaw/sd/2004-B5-10.pdf" TargetMode="External"/><Relationship Id="rId10" Type="http://schemas.openxmlformats.org/officeDocument/2006/relationships/hyperlink" Target="http://ggim.un.org/ggim_committee.org" TargetMode="External"/><Relationship Id="rId19" Type="http://schemas.openxmlformats.org/officeDocument/2006/relationships/hyperlink" Target="http://www.defensa.gob.es/Galerias/dgamdocs/plan-director-sistemas-espaciales.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ata.legilux.public.lu/file/eli-etat-leg-loi-2017-07-20-a674-jo-fr-pdf.pdf" TargetMode="External"/><Relationship Id="rId14" Type="http://schemas.openxmlformats.org/officeDocument/2006/relationships/hyperlink" Target="http://unpan1.un.org/intradoc/groups/public/documents/un/unpan001994.pdf" TargetMode="External"/><Relationship Id="rId22" Type="http://schemas.openxmlformats.org/officeDocument/2006/relationships/hyperlink" Target="http://www.esa.int/Our_Activities/Navigation/NAVISP" TargetMode="External"/><Relationship Id="rId27" Type="http://schemas.openxmlformats.org/officeDocument/2006/relationships/hyperlink" Target="http://www.un-ggim-americas.org"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noosa.org" TargetMode="External"/><Relationship Id="rId13" Type="http://schemas.openxmlformats.org/officeDocument/2006/relationships/hyperlink" Target="https://www.enaire.es/cielo_%C3%BAnico_europeo" TargetMode="External"/><Relationship Id="rId3" Type="http://schemas.openxmlformats.org/officeDocument/2006/relationships/hyperlink" Target="http://www.cartadelatierra.com" TargetMode="External"/><Relationship Id="rId7" Type="http://schemas.openxmlformats.org/officeDocument/2006/relationships/hyperlink" Target="http://www.un.org/millenniumgoals/pdf/post_2015_unttreport.pdf" TargetMode="External"/><Relationship Id="rId12" Type="http://schemas.openxmlformats.org/officeDocument/2006/relationships/hyperlink" Target="http://data.legilux.public.lu/file/eli-etat-leg-loi-2017-07-20-a674-jo-fr-pdf.pdf" TargetMode="External"/><Relationship Id="rId2" Type="http://schemas.openxmlformats.org/officeDocument/2006/relationships/hyperlink" Target="http://unpan1.un.org/intradoc/groups/public/documents/un/unpan001994.pdf" TargetMode="External"/><Relationship Id="rId1" Type="http://schemas.openxmlformats.org/officeDocument/2006/relationships/hyperlink" Target="http://www.ieim.uqam.ca" TargetMode="External"/><Relationship Id="rId6" Type="http://schemas.openxmlformats.org/officeDocument/2006/relationships/hyperlink" Target="http://ggim.un.org/knowledgebase/attachment36.aspx" TargetMode="External"/><Relationship Id="rId11" Type="http://schemas.openxmlformats.org/officeDocument/2006/relationships/hyperlink" Target="http://www.hq.nasa.gov/officcecodei" TargetMode="External"/><Relationship Id="rId5" Type="http://schemas.openxmlformats.org/officeDocument/2006/relationships/hyperlink" Target="http://www.un-ggim-americas.org" TargetMode="External"/><Relationship Id="rId10" Type="http://schemas.openxmlformats.org/officeDocument/2006/relationships/hyperlink" Target="http://www.space-settlement-institute.org/articles" TargetMode="External"/><Relationship Id="rId4" Type="http://schemas.openxmlformats.org/officeDocument/2006/relationships/hyperlink" Target="http://ggim.un.org/ggim_committee.org" TargetMode="External"/><Relationship Id="rId9" Type="http://schemas.openxmlformats.org/officeDocument/2006/relationships/hyperlink" Target="http://www.afese.com/img/revistas/revista50/prefutesp.pdf" TargetMode="External"/><Relationship Id="rId14" Type="http://schemas.openxmlformats.org/officeDocument/2006/relationships/hyperlink" Target="http://www.esa.int/Our_Activities/Navigation/NAVI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BD31-4F0E-4C3C-9264-233550FA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15710</TotalTime>
  <Pages>69</Pages>
  <Words>21009</Words>
  <Characters>115552</Characters>
  <Application>Microsoft Office Word</Application>
  <DocSecurity>0</DocSecurity>
  <Lines>962</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Gonzalez</dc:creator>
  <cp:keywords/>
  <dc:description/>
  <cp:lastModifiedBy>usuario</cp:lastModifiedBy>
  <cp:revision>164</cp:revision>
  <cp:lastPrinted>2018-01-11T17:05:00Z</cp:lastPrinted>
  <dcterms:created xsi:type="dcterms:W3CDTF">2017-12-14T22:50:00Z</dcterms:created>
  <dcterms:modified xsi:type="dcterms:W3CDTF">2020-08-05T17:55:00Z</dcterms:modified>
</cp:coreProperties>
</file>